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99A4B5"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S2668</w:t>
      </w:r>
    </w:p>
    <w:p w14:paraId="6E508BA4" w14:textId="77777777" w:rsidR="00126949" w:rsidRPr="00B01068" w:rsidRDefault="00126949" w:rsidP="00B01068">
      <w:pPr>
        <w:spacing w:before="100" w:beforeAutospacing="1" w:after="100" w:afterAutospacing="1"/>
        <w:rPr>
          <w:rFonts w:ascii="Cambria" w:hAnsi="Cambria"/>
        </w:rPr>
      </w:pPr>
      <w:r w:rsidRPr="00B01068">
        <w:rPr>
          <w:rFonts w:ascii="Cambria" w:hAnsi="Cambria" w:cs="Iskoola Pota"/>
          <w:cs/>
          <w:lang w:bidi="si-LK"/>
        </w:rPr>
        <w:t xml:space="preserve">අපට බිලියන </w:t>
      </w:r>
      <w:r w:rsidRPr="00B01068">
        <w:rPr>
          <w:rFonts w:ascii="Cambria" w:hAnsi="Cambria"/>
        </w:rPr>
        <w:t>8.2</w:t>
      </w:r>
      <w:r w:rsidRPr="00B01068">
        <w:rPr>
          <w:rFonts w:ascii="Cambria" w:hAnsi="Cambria" w:cs="Iskoola Pota"/>
          <w:cs/>
          <w:lang w:bidi="si-LK"/>
        </w:rPr>
        <w:t>ක් සංචිත තිබුණා…</w:t>
      </w:r>
      <w:r w:rsidRPr="00B01068">
        <w:rPr>
          <w:rFonts w:ascii="Cambria" w:hAnsi="Cambria" w:cs="Iskoola Pota"/>
          <w:lang w:bidi="si-LK"/>
        </w:rPr>
        <w:t xml:space="preserve"> </w:t>
      </w:r>
      <w:r w:rsidRPr="00B01068">
        <w:rPr>
          <w:rFonts w:ascii="Cambria" w:hAnsi="Cambria" w:cs="Iskoola Pota"/>
          <w:cs/>
          <w:lang w:bidi="si-LK"/>
        </w:rPr>
        <w:t xml:space="preserve">යහපාලන රජය අපිට භාරදුන්නේ ඇ.ඩො. බිලියන </w:t>
      </w:r>
      <w:r w:rsidRPr="00B01068">
        <w:rPr>
          <w:rFonts w:ascii="Cambria" w:hAnsi="Cambria"/>
        </w:rPr>
        <w:t>7.6</w:t>
      </w:r>
      <w:r w:rsidRPr="00B01068">
        <w:rPr>
          <w:rFonts w:ascii="Cambria" w:hAnsi="Cambria" w:cs="Iskoola Pota"/>
          <w:cs/>
          <w:lang w:bidi="si-LK"/>
        </w:rPr>
        <w:t>ක සංචිත ප්‍රමාණයක්.</w:t>
      </w:r>
    </w:p>
    <w:p w14:paraId="230A1541"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We had USD 8.2 billion in reserves… When the good governance government handed us the government, there was only USD 7.6 billion in reserves.</w:t>
      </w:r>
    </w:p>
    <w:p w14:paraId="7F210A6B" w14:textId="2BBA3033" w:rsidR="00126949" w:rsidRPr="00B01068" w:rsidRDefault="00126949" w:rsidP="00B01068">
      <w:pPr>
        <w:spacing w:before="100" w:beforeAutospacing="1" w:after="100" w:afterAutospacing="1"/>
        <w:rPr>
          <w:rFonts w:ascii="Cambria" w:hAnsi="Cambria"/>
        </w:rPr>
      </w:pPr>
      <w:r w:rsidRPr="00B01068">
        <w:rPr>
          <w:rFonts w:ascii="Cambria" w:hAnsi="Cambria"/>
        </w:rPr>
        <w:t xml:space="preserve">07/01/2021, </w:t>
      </w:r>
      <w:proofErr w:type="spellStart"/>
      <w:r w:rsidRPr="00B01068">
        <w:rPr>
          <w:rFonts w:ascii="Cambria" w:hAnsi="Cambria"/>
        </w:rPr>
        <w:t>Mawbima</w:t>
      </w:r>
      <w:proofErr w:type="spellEnd"/>
      <w:r w:rsidRPr="00B01068">
        <w:rPr>
          <w:rFonts w:ascii="Cambria" w:hAnsi="Cambria"/>
        </w:rPr>
        <w:t xml:space="preserve">, </w:t>
      </w:r>
      <w:r w:rsidRPr="00B01068">
        <w:rPr>
          <w:rFonts w:ascii="Cambria" w:hAnsi="Cambria" w:cs="Iskoola Pota"/>
          <w:cs/>
          <w:lang w:bidi="si-LK"/>
        </w:rPr>
        <w:t>අජිත් නිවාඩ් කබ්රාල්</w:t>
      </w:r>
    </w:p>
    <w:p w14:paraId="20D7DF3C" w14:textId="781243D3" w:rsidR="00126949" w:rsidRPr="00B01068" w:rsidRDefault="00126949" w:rsidP="00B01068">
      <w:pPr>
        <w:spacing w:before="100" w:beforeAutospacing="1" w:after="100" w:afterAutospacing="1"/>
        <w:jc w:val="both"/>
        <w:rPr>
          <w:rFonts w:ascii="Cambria" w:hAnsi="Cambria"/>
          <w:b/>
          <w:bCs/>
        </w:rPr>
      </w:pPr>
      <w:r w:rsidRPr="00B01068">
        <w:rPr>
          <w:rFonts w:ascii="Cambria" w:hAnsi="Cambria"/>
          <w:b/>
          <w:bCs/>
        </w:rPr>
        <w:t xml:space="preserve">State Minister </w:t>
      </w:r>
      <w:proofErr w:type="spellStart"/>
      <w:r w:rsidRPr="00B01068">
        <w:rPr>
          <w:rFonts w:ascii="Cambria" w:hAnsi="Cambria"/>
          <w:b/>
          <w:bCs/>
        </w:rPr>
        <w:t>Cabraal</w:t>
      </w:r>
      <w:proofErr w:type="spellEnd"/>
      <w:r w:rsidRPr="00B01068">
        <w:rPr>
          <w:rFonts w:ascii="Cambria" w:hAnsi="Cambria"/>
          <w:b/>
          <w:bCs/>
        </w:rPr>
        <w:t>: right on reserves with reservations</w:t>
      </w:r>
    </w:p>
    <w:p w14:paraId="239C6A5A" w14:textId="2BFC768C" w:rsidR="00126949" w:rsidRPr="00B01068" w:rsidRDefault="00126949" w:rsidP="00B01068">
      <w:pPr>
        <w:spacing w:before="100" w:beforeAutospacing="1" w:after="100" w:afterAutospacing="1"/>
        <w:rPr>
          <w:rFonts w:ascii="Cambria" w:hAnsi="Cambria"/>
        </w:rPr>
      </w:pPr>
      <w:r w:rsidRPr="00B01068">
        <w:rPr>
          <w:rFonts w:ascii="Cambria" w:hAnsi="Cambria"/>
        </w:rPr>
        <w:t xml:space="preserve">To evaluate the State Minister’s claim </w:t>
      </w:r>
      <w:proofErr w:type="spellStart"/>
      <w:r w:rsidRPr="00B01068">
        <w:rPr>
          <w:rFonts w:ascii="Cambria" w:hAnsi="Cambria"/>
        </w:rPr>
        <w:t>FactCheck</w:t>
      </w:r>
      <w:proofErr w:type="spellEnd"/>
      <w:r w:rsidRPr="00B01068">
        <w:rPr>
          <w:rFonts w:ascii="Cambria" w:hAnsi="Cambria"/>
        </w:rPr>
        <w:t xml:space="preserve"> consulted the Annual Report of the Central Bank of Sri Lanka for 2014 and 2019, and the Central Bank’s Weekly Economic Indicators. </w:t>
      </w:r>
      <w:proofErr w:type="spellStart"/>
      <w:r w:rsidRPr="00B01068">
        <w:rPr>
          <w:rFonts w:ascii="Cambria" w:hAnsi="Cambria"/>
        </w:rPr>
        <w:t>FactCheck</w:t>
      </w:r>
      <w:proofErr w:type="spellEnd"/>
      <w:r w:rsidRPr="00B01068">
        <w:rPr>
          <w:rFonts w:ascii="Cambria" w:hAnsi="Cambria"/>
        </w:rPr>
        <w:t xml:space="preserve"> considers the State Minister to be referring to Gross Official Reserves (see </w:t>
      </w:r>
      <w:r w:rsidR="005F2C8B" w:rsidRPr="00B01068">
        <w:rPr>
          <w:rFonts w:ascii="Cambria" w:hAnsi="Cambria"/>
        </w:rPr>
        <w:t>A</w:t>
      </w:r>
      <w:r w:rsidRPr="00B01068">
        <w:rPr>
          <w:rFonts w:ascii="Cambria" w:hAnsi="Cambria"/>
        </w:rPr>
        <w:t xml:space="preserve">dditional </w:t>
      </w:r>
      <w:r w:rsidR="005F2C8B" w:rsidRPr="00B01068">
        <w:rPr>
          <w:rFonts w:ascii="Cambria" w:hAnsi="Cambria"/>
        </w:rPr>
        <w:t>N</w:t>
      </w:r>
      <w:r w:rsidRPr="00B01068">
        <w:rPr>
          <w:rFonts w:ascii="Cambria" w:hAnsi="Cambria"/>
        </w:rPr>
        <w:t>ote</w:t>
      </w:r>
      <w:r w:rsidR="005F2C8B" w:rsidRPr="00B01068">
        <w:rPr>
          <w:rFonts w:ascii="Cambria" w:hAnsi="Cambria"/>
        </w:rPr>
        <w:t xml:space="preserve"> (iii)</w:t>
      </w:r>
      <w:r w:rsidRPr="00B01068">
        <w:rPr>
          <w:rFonts w:ascii="Cambria" w:hAnsi="Cambria"/>
        </w:rPr>
        <w:t xml:space="preserve"> for definitions on other types of reserves).</w:t>
      </w:r>
    </w:p>
    <w:p w14:paraId="6B9628F7" w14:textId="77777777" w:rsidR="005F2C8B" w:rsidRPr="00B01068" w:rsidRDefault="005F2C8B" w:rsidP="00B01068">
      <w:pPr>
        <w:spacing w:before="100" w:beforeAutospacing="1" w:after="100" w:afterAutospacing="1"/>
        <w:jc w:val="both"/>
        <w:rPr>
          <w:rFonts w:ascii="Cambria" w:hAnsi="Cambria"/>
        </w:rPr>
      </w:pPr>
      <w:r w:rsidRPr="00B01068">
        <w:rPr>
          <w:rFonts w:ascii="Cambria" w:hAnsi="Cambria"/>
        </w:rPr>
        <w:t>The state minister’s first claim “we had USD 8.2 billion in reserves” suggests this was the reserve position when President Mahinda Rajapaksa left office on 9 January 2015. The most recent publicly available data on reserves prior to that date is the reserve position on 31 December 2014, which places GOR at USD 8.2 billion as claimed.</w:t>
      </w:r>
    </w:p>
    <w:p w14:paraId="7AAE7959" w14:textId="77777777" w:rsidR="005F2C8B" w:rsidRPr="00B01068" w:rsidRDefault="005F2C8B" w:rsidP="00B01068">
      <w:pPr>
        <w:spacing w:before="100" w:beforeAutospacing="1" w:after="100" w:afterAutospacing="1"/>
        <w:jc w:val="both"/>
        <w:rPr>
          <w:rFonts w:ascii="Cambria" w:hAnsi="Cambria"/>
        </w:rPr>
      </w:pPr>
      <w:r w:rsidRPr="00B01068">
        <w:rPr>
          <w:rFonts w:ascii="Cambria" w:hAnsi="Cambria"/>
        </w:rPr>
        <w:t xml:space="preserve">The second claim is that the reserve position was down by 7% to USD 7.6 billion when the government changed with the election of President Gotabaya Rajapaksa on 16 November 2019. GOR immediately prior to and after (on 31 October and 30 November 2019) was USD 7.8 billion and 7.5 </w:t>
      </w:r>
      <w:proofErr w:type="gramStart"/>
      <w:r w:rsidRPr="00B01068">
        <w:rPr>
          <w:rFonts w:ascii="Cambria" w:hAnsi="Cambria"/>
        </w:rPr>
        <w:t>billion</w:t>
      </w:r>
      <w:proofErr w:type="gramEnd"/>
      <w:r w:rsidRPr="00B01068">
        <w:rPr>
          <w:rFonts w:ascii="Cambria" w:hAnsi="Cambria"/>
        </w:rPr>
        <w:t xml:space="preserve"> respectively. The state minister’s claim falls between these two figures.</w:t>
      </w:r>
    </w:p>
    <w:p w14:paraId="127241A6" w14:textId="77777777" w:rsidR="005F2C8B" w:rsidRPr="00B01068" w:rsidRDefault="005F2C8B" w:rsidP="00B01068">
      <w:pPr>
        <w:spacing w:before="100" w:beforeAutospacing="1" w:after="100" w:afterAutospacing="1"/>
        <w:jc w:val="both"/>
        <w:rPr>
          <w:rFonts w:ascii="Cambria" w:hAnsi="Cambria"/>
        </w:rPr>
      </w:pPr>
      <w:r w:rsidRPr="00B01068">
        <w:rPr>
          <w:rFonts w:ascii="Cambria" w:hAnsi="Cambria"/>
        </w:rPr>
        <w:t>The available data is in line with the state minister's claims. Therefore, we classify his statement as TRUE.</w:t>
      </w:r>
    </w:p>
    <w:p w14:paraId="444D2996" w14:textId="77777777" w:rsidR="005F2C8B" w:rsidRPr="00B01068" w:rsidRDefault="005F2C8B" w:rsidP="00B01068">
      <w:pPr>
        <w:spacing w:before="100" w:beforeAutospacing="1" w:after="100" w:afterAutospacing="1"/>
        <w:jc w:val="both"/>
        <w:rPr>
          <w:rFonts w:ascii="Cambria" w:hAnsi="Cambria"/>
        </w:rPr>
      </w:pPr>
      <w:r w:rsidRPr="00B01068">
        <w:rPr>
          <w:rFonts w:ascii="Cambria" w:hAnsi="Cambria"/>
        </w:rPr>
        <w:t>*</w:t>
      </w:r>
      <w:proofErr w:type="spellStart"/>
      <w:r w:rsidRPr="00B01068">
        <w:rPr>
          <w:rFonts w:ascii="Cambria" w:hAnsi="Cambria"/>
        </w:rPr>
        <w:t>FactCheck's</w:t>
      </w:r>
      <w:proofErr w:type="spellEnd"/>
      <w:r w:rsidRPr="00B01068">
        <w:rPr>
          <w:rFonts w:ascii="Cambria" w:hAnsi="Cambria"/>
        </w:rPr>
        <w:t xml:space="preserve"> verdict is based on the most recent information that is publicly accessible. As with every fact check, if new information becomes available, </w:t>
      </w:r>
      <w:proofErr w:type="spellStart"/>
      <w:r w:rsidRPr="00B01068">
        <w:rPr>
          <w:rFonts w:ascii="Cambria" w:hAnsi="Cambria"/>
        </w:rPr>
        <w:t>FactCheck</w:t>
      </w:r>
      <w:proofErr w:type="spellEnd"/>
      <w:r w:rsidRPr="00B01068">
        <w:rPr>
          <w:rFonts w:ascii="Cambria" w:hAnsi="Cambria"/>
        </w:rPr>
        <w:t xml:space="preserve"> will revisit the assessment.</w:t>
      </w:r>
    </w:p>
    <w:p w14:paraId="4FF42457" w14:textId="77777777" w:rsidR="00126949" w:rsidRPr="00B01068" w:rsidRDefault="00126949" w:rsidP="00B01068">
      <w:pPr>
        <w:spacing w:before="100" w:beforeAutospacing="1" w:after="100" w:afterAutospacing="1"/>
        <w:rPr>
          <w:rFonts w:ascii="Cambria" w:hAnsi="Cambria"/>
          <w:b/>
          <w:bCs/>
        </w:rPr>
      </w:pPr>
      <w:r w:rsidRPr="00B01068">
        <w:rPr>
          <w:rFonts w:ascii="Cambria" w:hAnsi="Cambria"/>
          <w:b/>
          <w:bCs/>
        </w:rPr>
        <w:t>Additional Notes:</w:t>
      </w:r>
    </w:p>
    <w:p w14:paraId="6422FC8A"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w:t>
      </w:r>
      <w:proofErr w:type="spellStart"/>
      <w:r w:rsidRPr="00B01068">
        <w:rPr>
          <w:rFonts w:ascii="Cambria" w:hAnsi="Cambria"/>
        </w:rPr>
        <w:t>i</w:t>
      </w:r>
      <w:proofErr w:type="spellEnd"/>
      <w:r w:rsidRPr="00B01068">
        <w:rPr>
          <w:rFonts w:ascii="Cambria" w:hAnsi="Cambria"/>
        </w:rPr>
        <w:t xml:space="preserve">) </w:t>
      </w:r>
      <w:r w:rsidRPr="00B01068">
        <w:rPr>
          <w:rFonts w:ascii="Cambria" w:hAnsi="Cambria"/>
          <w:b/>
          <w:bCs/>
        </w:rPr>
        <w:t>Decline in GOR in 2020:</w:t>
      </w:r>
      <w:r w:rsidRPr="00B01068">
        <w:rPr>
          <w:rFonts w:ascii="Cambria" w:hAnsi="Cambria"/>
        </w:rPr>
        <w:t xml:space="preserve"> by November 2020, GOR was USD 5,555, which is a reduction of 26% since November 2019</w:t>
      </w:r>
    </w:p>
    <w:p w14:paraId="2D3F194B" w14:textId="593DC94C" w:rsidR="00126949" w:rsidRPr="00B01068" w:rsidRDefault="00126949" w:rsidP="00B01068">
      <w:pPr>
        <w:spacing w:before="100" w:beforeAutospacing="1" w:after="100" w:afterAutospacing="1"/>
        <w:rPr>
          <w:rFonts w:ascii="Cambria" w:hAnsi="Cambria"/>
        </w:rPr>
      </w:pPr>
      <w:r w:rsidRPr="00B01068">
        <w:rPr>
          <w:rFonts w:ascii="Cambria" w:hAnsi="Cambria"/>
        </w:rPr>
        <w:t xml:space="preserve">(ii) </w:t>
      </w:r>
      <w:r w:rsidRPr="00B01068">
        <w:rPr>
          <w:rFonts w:ascii="Cambria" w:hAnsi="Cambria"/>
          <w:b/>
          <w:bCs/>
        </w:rPr>
        <w:t>GOR Quality:</w:t>
      </w:r>
      <w:r w:rsidRPr="00B01068">
        <w:rPr>
          <w:rFonts w:ascii="Cambria" w:hAnsi="Cambria"/>
        </w:rPr>
        <w:t xml:space="preserve"> USD 8.2 billion reserves in 2014 included USD 2,196 million worth of swaps maturing within 12 months, whereas in October and November 2019, swaps maturing within 12 months amounted to USD 419 million. By November 2020 swaps had increased to USD 1,415 million. This is indicative of a superior quality of reserves in 2019 compared to 2014 and 2020.</w:t>
      </w:r>
    </w:p>
    <w:p w14:paraId="326041DA" w14:textId="6DFFF00B" w:rsidR="00126949" w:rsidRPr="00B01068" w:rsidRDefault="00126949" w:rsidP="00B01068">
      <w:pPr>
        <w:spacing w:before="100" w:beforeAutospacing="1" w:after="100" w:afterAutospacing="1"/>
        <w:rPr>
          <w:rFonts w:ascii="Cambria" w:hAnsi="Cambria"/>
        </w:rPr>
      </w:pPr>
      <w:r w:rsidRPr="00B01068">
        <w:rPr>
          <w:rFonts w:ascii="Cambria" w:hAnsi="Cambria"/>
        </w:rPr>
        <w:t xml:space="preserve">(iii) </w:t>
      </w:r>
      <w:r w:rsidRPr="00B01068">
        <w:rPr>
          <w:rFonts w:ascii="Cambria" w:hAnsi="Cambria"/>
          <w:b/>
          <w:bCs/>
        </w:rPr>
        <w:t>Definitions of Reserves:</w:t>
      </w:r>
      <w:r w:rsidR="005F2C8B" w:rsidRPr="00B01068">
        <w:rPr>
          <w:rFonts w:ascii="Cambria" w:hAnsi="Cambria"/>
          <w:b/>
          <w:bCs/>
        </w:rPr>
        <w:t xml:space="preserve"> </w:t>
      </w:r>
      <w:r w:rsidR="005F2C8B" w:rsidRPr="00B01068">
        <w:rPr>
          <w:rFonts w:ascii="Cambria" w:hAnsi="Cambria"/>
        </w:rPr>
        <w:t xml:space="preserve">There are three primary forms of external reserves. </w:t>
      </w:r>
    </w:p>
    <w:p w14:paraId="01302C58" w14:textId="77777777" w:rsidR="00126949" w:rsidRPr="00B01068" w:rsidRDefault="00126949" w:rsidP="00B01068">
      <w:pPr>
        <w:pStyle w:val="ListParagraph"/>
        <w:numPr>
          <w:ilvl w:val="0"/>
          <w:numId w:val="1"/>
        </w:numPr>
        <w:spacing w:before="100" w:beforeAutospacing="1" w:after="100" w:afterAutospacing="1"/>
        <w:rPr>
          <w:rFonts w:ascii="Cambria" w:hAnsi="Cambria"/>
        </w:rPr>
      </w:pPr>
      <w:r w:rsidRPr="00B01068">
        <w:rPr>
          <w:rFonts w:ascii="Cambria" w:hAnsi="Cambria"/>
        </w:rPr>
        <w:t xml:space="preserve">Gross Official Reserves (GOR) refer to the sum of government foreign assets and the Central Bank’s foreign assets. </w:t>
      </w:r>
    </w:p>
    <w:p w14:paraId="3021D5DB" w14:textId="77777777" w:rsidR="00126949" w:rsidRPr="00B01068" w:rsidRDefault="00126949" w:rsidP="00B01068">
      <w:pPr>
        <w:pStyle w:val="ListParagraph"/>
        <w:numPr>
          <w:ilvl w:val="0"/>
          <w:numId w:val="1"/>
        </w:numPr>
        <w:spacing w:before="100" w:beforeAutospacing="1" w:after="100" w:afterAutospacing="1"/>
        <w:rPr>
          <w:rFonts w:ascii="Cambria" w:hAnsi="Cambria"/>
        </w:rPr>
      </w:pPr>
      <w:r w:rsidRPr="00B01068">
        <w:rPr>
          <w:rFonts w:ascii="Cambria" w:hAnsi="Cambria"/>
        </w:rPr>
        <w:lastRenderedPageBreak/>
        <w:t xml:space="preserve">Total Foreign Assets (TFA) includes the foreign assets of deposit taking corporations to Gross Official Reserves. </w:t>
      </w:r>
    </w:p>
    <w:p w14:paraId="1D15FAA5" w14:textId="71793B6E" w:rsidR="00126949" w:rsidRPr="00B01068" w:rsidRDefault="00126949" w:rsidP="00B01068">
      <w:pPr>
        <w:pStyle w:val="ListParagraph"/>
        <w:numPr>
          <w:ilvl w:val="0"/>
          <w:numId w:val="1"/>
        </w:numPr>
        <w:spacing w:before="100" w:beforeAutospacing="1" w:after="100" w:afterAutospacing="1"/>
        <w:rPr>
          <w:rFonts w:ascii="Cambria" w:hAnsi="Cambria"/>
        </w:rPr>
      </w:pPr>
      <w:r w:rsidRPr="00B01068">
        <w:rPr>
          <w:rFonts w:ascii="Cambria" w:hAnsi="Cambria"/>
        </w:rPr>
        <w:t>Net International Reserves (</w:t>
      </w:r>
      <w:r w:rsidR="00E74ADA">
        <w:rPr>
          <w:rFonts w:ascii="Cambria" w:hAnsi="Cambria"/>
        </w:rPr>
        <w:t>N</w:t>
      </w:r>
      <w:r w:rsidRPr="00B01068">
        <w:rPr>
          <w:rFonts w:ascii="Cambria" w:hAnsi="Cambria"/>
        </w:rPr>
        <w:t>IR) refer to gross official reserves minus any reserve related liabilities (which is total central bank debt excluding special drawing rights of the IMF).</w:t>
      </w:r>
    </w:p>
    <w:p w14:paraId="6F0B744F" w14:textId="77777777" w:rsidR="00126949" w:rsidRPr="00B01068" w:rsidRDefault="00126949" w:rsidP="00B01068">
      <w:pPr>
        <w:spacing w:before="100" w:beforeAutospacing="1" w:after="100" w:afterAutospacing="1"/>
        <w:rPr>
          <w:rFonts w:ascii="Cambria" w:hAnsi="Cambria"/>
          <w:b/>
          <w:bCs/>
        </w:rPr>
      </w:pPr>
    </w:p>
    <w:p w14:paraId="5511510A" w14:textId="77777777" w:rsidR="00126949" w:rsidRPr="00B01068" w:rsidRDefault="00126949" w:rsidP="00B01068">
      <w:pPr>
        <w:spacing w:before="100" w:beforeAutospacing="1" w:after="100" w:afterAutospacing="1"/>
        <w:rPr>
          <w:rFonts w:ascii="Cambria" w:hAnsi="Cambria"/>
        </w:rPr>
      </w:pPr>
    </w:p>
    <w:p w14:paraId="68BA1FF2" w14:textId="021F2E6E"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Exhibit 1: Foreign </w:t>
      </w:r>
      <w:r w:rsidR="00E117BF" w:rsidRPr="00B01068">
        <w:rPr>
          <w:rFonts w:ascii="Cambria" w:hAnsi="Cambria"/>
          <w:b/>
          <w:bCs/>
        </w:rPr>
        <w:t>r</w:t>
      </w:r>
      <w:r w:rsidRPr="00B01068">
        <w:rPr>
          <w:rFonts w:ascii="Cambria" w:hAnsi="Cambria"/>
          <w:b/>
          <w:bCs/>
        </w:rPr>
        <w:t>eserves</w:t>
      </w:r>
      <w:r w:rsidR="005F2C8B" w:rsidRPr="00B01068">
        <w:rPr>
          <w:rFonts w:ascii="Cambria" w:hAnsi="Cambria"/>
          <w:b/>
          <w:bCs/>
        </w:rPr>
        <w:t xml:space="preserve"> </w:t>
      </w:r>
      <w:r w:rsidR="00E117BF" w:rsidRPr="00B01068">
        <w:rPr>
          <w:rFonts w:ascii="Cambria" w:hAnsi="Cambria"/>
          <w:b/>
          <w:bCs/>
        </w:rPr>
        <w:t xml:space="preserve">and swaps </w:t>
      </w:r>
      <w:r w:rsidR="005F2C8B" w:rsidRPr="00B01068">
        <w:rPr>
          <w:rFonts w:ascii="Cambria" w:hAnsi="Cambria"/>
          <w:b/>
          <w:bCs/>
        </w:rPr>
        <w:t>(USD million)</w:t>
      </w:r>
    </w:p>
    <w:tbl>
      <w:tblPr>
        <w:tblStyle w:val="TableGrid"/>
        <w:tblW w:w="9360" w:type="dxa"/>
        <w:tblLook w:val="04A0" w:firstRow="1" w:lastRow="0" w:firstColumn="1" w:lastColumn="0" w:noHBand="0" w:noVBand="1"/>
      </w:tblPr>
      <w:tblGrid>
        <w:gridCol w:w="2865"/>
        <w:gridCol w:w="1299"/>
        <w:gridCol w:w="1299"/>
        <w:gridCol w:w="1299"/>
        <w:gridCol w:w="1299"/>
        <w:gridCol w:w="1299"/>
      </w:tblGrid>
      <w:tr w:rsidR="00B01068" w:rsidRPr="00B01068" w14:paraId="058D867B" w14:textId="77777777" w:rsidTr="005F2C8B">
        <w:tc>
          <w:tcPr>
            <w:tcW w:w="2865" w:type="dxa"/>
            <w:shd w:val="clear" w:color="auto" w:fill="531E3A"/>
          </w:tcPr>
          <w:p w14:paraId="1C18872F" w14:textId="77777777" w:rsidR="00126949" w:rsidRPr="00B01068" w:rsidRDefault="00126949" w:rsidP="00B01068">
            <w:pPr>
              <w:spacing w:before="100" w:beforeAutospacing="1" w:after="100" w:afterAutospacing="1"/>
              <w:rPr>
                <w:rFonts w:ascii="Cambria" w:hAnsi="Cambria"/>
                <w:b/>
                <w:bCs/>
              </w:rPr>
            </w:pPr>
            <w:r w:rsidRPr="00B01068">
              <w:rPr>
                <w:rFonts w:ascii="Cambria" w:hAnsi="Cambria"/>
                <w:b/>
                <w:bCs/>
              </w:rPr>
              <w:t>Types of Foreign Reserves</w:t>
            </w:r>
          </w:p>
        </w:tc>
        <w:tc>
          <w:tcPr>
            <w:tcW w:w="1299" w:type="dxa"/>
            <w:shd w:val="clear" w:color="auto" w:fill="531E3A"/>
          </w:tcPr>
          <w:p w14:paraId="7406DCE1" w14:textId="67F967BE"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December </w:t>
            </w:r>
            <w:r w:rsidR="005F2C8B" w:rsidRPr="00B01068">
              <w:rPr>
                <w:rFonts w:ascii="Cambria" w:hAnsi="Cambria"/>
                <w:b/>
                <w:bCs/>
              </w:rPr>
              <w:t xml:space="preserve">31, </w:t>
            </w:r>
            <w:r w:rsidRPr="00B01068">
              <w:rPr>
                <w:rFonts w:ascii="Cambria" w:hAnsi="Cambria"/>
                <w:b/>
                <w:bCs/>
              </w:rPr>
              <w:t>2014</w:t>
            </w:r>
          </w:p>
        </w:tc>
        <w:tc>
          <w:tcPr>
            <w:tcW w:w="1299" w:type="dxa"/>
            <w:shd w:val="clear" w:color="auto" w:fill="531E3A"/>
          </w:tcPr>
          <w:p w14:paraId="46549687" w14:textId="1F8C9DD3"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October </w:t>
            </w:r>
            <w:r w:rsidR="005F2C8B" w:rsidRPr="00B01068">
              <w:rPr>
                <w:rFonts w:ascii="Cambria" w:hAnsi="Cambria"/>
                <w:b/>
                <w:bCs/>
              </w:rPr>
              <w:t xml:space="preserve">31, </w:t>
            </w:r>
            <w:r w:rsidRPr="00B01068">
              <w:rPr>
                <w:rFonts w:ascii="Cambria" w:hAnsi="Cambria"/>
                <w:b/>
                <w:bCs/>
              </w:rPr>
              <w:t>2019</w:t>
            </w:r>
          </w:p>
        </w:tc>
        <w:tc>
          <w:tcPr>
            <w:tcW w:w="1299" w:type="dxa"/>
            <w:shd w:val="clear" w:color="auto" w:fill="531E3A"/>
          </w:tcPr>
          <w:p w14:paraId="361F9D5F" w14:textId="62A84A19"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November </w:t>
            </w:r>
            <w:r w:rsidR="005F2C8B" w:rsidRPr="00B01068">
              <w:rPr>
                <w:rFonts w:ascii="Cambria" w:hAnsi="Cambria"/>
                <w:b/>
                <w:bCs/>
              </w:rPr>
              <w:t xml:space="preserve">30, </w:t>
            </w:r>
            <w:r w:rsidRPr="00B01068">
              <w:rPr>
                <w:rFonts w:ascii="Cambria" w:hAnsi="Cambria"/>
                <w:b/>
                <w:bCs/>
              </w:rPr>
              <w:t>2019</w:t>
            </w:r>
          </w:p>
        </w:tc>
        <w:tc>
          <w:tcPr>
            <w:tcW w:w="1299" w:type="dxa"/>
            <w:shd w:val="clear" w:color="auto" w:fill="531E3A"/>
          </w:tcPr>
          <w:p w14:paraId="75E527AA" w14:textId="13DFEB03"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December </w:t>
            </w:r>
            <w:r w:rsidR="005F2C8B" w:rsidRPr="00B01068">
              <w:rPr>
                <w:rFonts w:ascii="Cambria" w:hAnsi="Cambria"/>
                <w:b/>
                <w:bCs/>
              </w:rPr>
              <w:t xml:space="preserve">31, </w:t>
            </w:r>
            <w:r w:rsidRPr="00B01068">
              <w:rPr>
                <w:rFonts w:ascii="Cambria" w:hAnsi="Cambria"/>
                <w:b/>
                <w:bCs/>
              </w:rPr>
              <w:t>2019</w:t>
            </w:r>
          </w:p>
        </w:tc>
        <w:tc>
          <w:tcPr>
            <w:tcW w:w="1299" w:type="dxa"/>
            <w:shd w:val="clear" w:color="auto" w:fill="531E3A"/>
          </w:tcPr>
          <w:p w14:paraId="732FA302" w14:textId="36D40257" w:rsidR="00126949" w:rsidRPr="00B01068" w:rsidRDefault="00126949" w:rsidP="00B01068">
            <w:pPr>
              <w:spacing w:before="100" w:beforeAutospacing="1" w:after="100" w:afterAutospacing="1"/>
              <w:rPr>
                <w:rFonts w:ascii="Cambria" w:hAnsi="Cambria"/>
                <w:b/>
                <w:bCs/>
              </w:rPr>
            </w:pPr>
            <w:r w:rsidRPr="00B01068">
              <w:rPr>
                <w:rFonts w:ascii="Cambria" w:hAnsi="Cambria"/>
                <w:b/>
                <w:bCs/>
              </w:rPr>
              <w:t xml:space="preserve">November </w:t>
            </w:r>
            <w:r w:rsidR="005F2C8B" w:rsidRPr="00B01068">
              <w:rPr>
                <w:rFonts w:ascii="Cambria" w:hAnsi="Cambria"/>
                <w:b/>
                <w:bCs/>
              </w:rPr>
              <w:t xml:space="preserve">30, </w:t>
            </w:r>
            <w:r w:rsidRPr="00B01068">
              <w:rPr>
                <w:rFonts w:ascii="Cambria" w:hAnsi="Cambria"/>
                <w:b/>
                <w:bCs/>
              </w:rPr>
              <w:t>2020</w:t>
            </w:r>
          </w:p>
        </w:tc>
      </w:tr>
      <w:tr w:rsidR="00126949" w:rsidRPr="00B01068" w14:paraId="026C2979" w14:textId="77777777" w:rsidTr="005F2C8B">
        <w:tc>
          <w:tcPr>
            <w:tcW w:w="2865" w:type="dxa"/>
          </w:tcPr>
          <w:p w14:paraId="216CCED0"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Gross Official Reserves</w:t>
            </w:r>
          </w:p>
        </w:tc>
        <w:tc>
          <w:tcPr>
            <w:tcW w:w="1299" w:type="dxa"/>
          </w:tcPr>
          <w:p w14:paraId="6646C8E4"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8,208</w:t>
            </w:r>
          </w:p>
        </w:tc>
        <w:tc>
          <w:tcPr>
            <w:tcW w:w="1299" w:type="dxa"/>
          </w:tcPr>
          <w:p w14:paraId="4495D009"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7,780</w:t>
            </w:r>
          </w:p>
        </w:tc>
        <w:tc>
          <w:tcPr>
            <w:tcW w:w="1299" w:type="dxa"/>
          </w:tcPr>
          <w:p w14:paraId="425AB0C0"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7,502</w:t>
            </w:r>
          </w:p>
        </w:tc>
        <w:tc>
          <w:tcPr>
            <w:tcW w:w="1299" w:type="dxa"/>
          </w:tcPr>
          <w:p w14:paraId="2C3B9A88"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7,642</w:t>
            </w:r>
          </w:p>
        </w:tc>
        <w:tc>
          <w:tcPr>
            <w:tcW w:w="1299" w:type="dxa"/>
          </w:tcPr>
          <w:p w14:paraId="05A412A6"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5,555</w:t>
            </w:r>
          </w:p>
        </w:tc>
      </w:tr>
      <w:tr w:rsidR="00126949" w:rsidRPr="00B01068" w14:paraId="345E441A" w14:textId="77777777" w:rsidTr="005F2C8B">
        <w:tc>
          <w:tcPr>
            <w:tcW w:w="2865" w:type="dxa"/>
          </w:tcPr>
          <w:p w14:paraId="0A7FBF28"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Total Foreign Assets</w:t>
            </w:r>
          </w:p>
        </w:tc>
        <w:tc>
          <w:tcPr>
            <w:tcW w:w="1299" w:type="dxa"/>
          </w:tcPr>
          <w:p w14:paraId="61D51DD9"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9,884</w:t>
            </w:r>
          </w:p>
        </w:tc>
        <w:tc>
          <w:tcPr>
            <w:tcW w:w="1299" w:type="dxa"/>
          </w:tcPr>
          <w:p w14:paraId="47E70722"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N/A</w:t>
            </w:r>
          </w:p>
        </w:tc>
        <w:tc>
          <w:tcPr>
            <w:tcW w:w="1299" w:type="dxa"/>
          </w:tcPr>
          <w:p w14:paraId="050970D5"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N/A</w:t>
            </w:r>
          </w:p>
        </w:tc>
        <w:tc>
          <w:tcPr>
            <w:tcW w:w="1299" w:type="dxa"/>
          </w:tcPr>
          <w:p w14:paraId="563A47CF"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10,402</w:t>
            </w:r>
          </w:p>
        </w:tc>
        <w:tc>
          <w:tcPr>
            <w:tcW w:w="1299" w:type="dxa"/>
          </w:tcPr>
          <w:p w14:paraId="14E1C564"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N/A</w:t>
            </w:r>
          </w:p>
        </w:tc>
      </w:tr>
      <w:tr w:rsidR="005F2C8B" w:rsidRPr="00B01068" w14:paraId="075CC8ED" w14:textId="77777777" w:rsidTr="005F2C8B">
        <w:tc>
          <w:tcPr>
            <w:tcW w:w="2865" w:type="dxa"/>
          </w:tcPr>
          <w:p w14:paraId="1F676AD2" w14:textId="3DF66926" w:rsidR="005F2C8B" w:rsidRPr="00B01068" w:rsidRDefault="005F2C8B" w:rsidP="00B01068">
            <w:pPr>
              <w:spacing w:before="100" w:beforeAutospacing="1" w:after="100" w:afterAutospacing="1"/>
              <w:rPr>
                <w:rFonts w:ascii="Cambria" w:hAnsi="Cambria"/>
              </w:rPr>
            </w:pPr>
            <w:r w:rsidRPr="00B01068">
              <w:rPr>
                <w:rFonts w:ascii="Cambria" w:hAnsi="Cambria"/>
              </w:rPr>
              <w:t>Net International Reserves</w:t>
            </w:r>
          </w:p>
        </w:tc>
        <w:tc>
          <w:tcPr>
            <w:tcW w:w="1299" w:type="dxa"/>
          </w:tcPr>
          <w:p w14:paraId="5D79B7CE" w14:textId="1A285FA0" w:rsidR="005F2C8B" w:rsidRPr="00B01068" w:rsidRDefault="005F2C8B" w:rsidP="00B01068">
            <w:pPr>
              <w:spacing w:before="100" w:beforeAutospacing="1" w:after="100" w:afterAutospacing="1"/>
              <w:rPr>
                <w:rFonts w:ascii="Cambria" w:hAnsi="Cambria"/>
              </w:rPr>
            </w:pPr>
            <w:r w:rsidRPr="00B01068">
              <w:rPr>
                <w:rFonts w:ascii="Cambria" w:hAnsi="Cambria"/>
              </w:rPr>
              <w:t>6,517</w:t>
            </w:r>
          </w:p>
        </w:tc>
        <w:tc>
          <w:tcPr>
            <w:tcW w:w="1299" w:type="dxa"/>
          </w:tcPr>
          <w:p w14:paraId="218D388C" w14:textId="23CEE08A" w:rsidR="005F2C8B" w:rsidRPr="00B01068" w:rsidRDefault="005F2C8B" w:rsidP="00B01068">
            <w:pPr>
              <w:spacing w:before="100" w:beforeAutospacing="1" w:after="100" w:afterAutospacing="1"/>
              <w:rPr>
                <w:rFonts w:ascii="Cambria" w:hAnsi="Cambria"/>
              </w:rPr>
            </w:pPr>
            <w:r w:rsidRPr="00B01068">
              <w:rPr>
                <w:rFonts w:ascii="Cambria" w:hAnsi="Cambria"/>
              </w:rPr>
              <w:t>N/A</w:t>
            </w:r>
          </w:p>
        </w:tc>
        <w:tc>
          <w:tcPr>
            <w:tcW w:w="1299" w:type="dxa"/>
          </w:tcPr>
          <w:p w14:paraId="41BF1D1D" w14:textId="66388FA8" w:rsidR="005F2C8B" w:rsidRPr="00B01068" w:rsidRDefault="005F2C8B" w:rsidP="00B01068">
            <w:pPr>
              <w:spacing w:before="100" w:beforeAutospacing="1" w:after="100" w:afterAutospacing="1"/>
              <w:rPr>
                <w:rFonts w:ascii="Cambria" w:hAnsi="Cambria"/>
              </w:rPr>
            </w:pPr>
            <w:r w:rsidRPr="00B01068">
              <w:rPr>
                <w:rFonts w:ascii="Cambria" w:hAnsi="Cambria"/>
              </w:rPr>
              <w:t>N/A</w:t>
            </w:r>
          </w:p>
        </w:tc>
        <w:tc>
          <w:tcPr>
            <w:tcW w:w="1299" w:type="dxa"/>
          </w:tcPr>
          <w:p w14:paraId="5BCCBB99" w14:textId="55B7A553" w:rsidR="005F2C8B" w:rsidRPr="00B01068" w:rsidRDefault="005F2C8B" w:rsidP="00B01068">
            <w:pPr>
              <w:spacing w:before="100" w:beforeAutospacing="1" w:after="100" w:afterAutospacing="1"/>
              <w:rPr>
                <w:rFonts w:ascii="Cambria" w:hAnsi="Cambria"/>
              </w:rPr>
            </w:pPr>
            <w:r w:rsidRPr="00B01068">
              <w:rPr>
                <w:rFonts w:ascii="Cambria" w:hAnsi="Cambria"/>
              </w:rPr>
              <w:t>5,871</w:t>
            </w:r>
          </w:p>
        </w:tc>
        <w:tc>
          <w:tcPr>
            <w:tcW w:w="1299" w:type="dxa"/>
          </w:tcPr>
          <w:p w14:paraId="5845C328" w14:textId="320BCA81" w:rsidR="005F2C8B" w:rsidRPr="00B01068" w:rsidRDefault="005F2C8B" w:rsidP="00B01068">
            <w:pPr>
              <w:spacing w:before="100" w:beforeAutospacing="1" w:after="100" w:afterAutospacing="1"/>
              <w:rPr>
                <w:rFonts w:ascii="Cambria" w:hAnsi="Cambria"/>
              </w:rPr>
            </w:pPr>
            <w:r w:rsidRPr="00B01068">
              <w:rPr>
                <w:rFonts w:ascii="Cambria" w:hAnsi="Cambria"/>
              </w:rPr>
              <w:t>N/A</w:t>
            </w:r>
          </w:p>
        </w:tc>
      </w:tr>
      <w:tr w:rsidR="00126949" w:rsidRPr="00B01068" w14:paraId="710A37FA" w14:textId="77777777" w:rsidTr="005F2C8B">
        <w:tc>
          <w:tcPr>
            <w:tcW w:w="2865" w:type="dxa"/>
          </w:tcPr>
          <w:p w14:paraId="0D94D516"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Aggregate short positions in foreign currency forwards maturing within 12 months</w:t>
            </w:r>
          </w:p>
        </w:tc>
        <w:tc>
          <w:tcPr>
            <w:tcW w:w="1299" w:type="dxa"/>
          </w:tcPr>
          <w:p w14:paraId="21BF6E2F"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2,196</w:t>
            </w:r>
          </w:p>
        </w:tc>
        <w:tc>
          <w:tcPr>
            <w:tcW w:w="1299" w:type="dxa"/>
          </w:tcPr>
          <w:p w14:paraId="47F2B599"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419</w:t>
            </w:r>
          </w:p>
        </w:tc>
        <w:tc>
          <w:tcPr>
            <w:tcW w:w="1299" w:type="dxa"/>
          </w:tcPr>
          <w:p w14:paraId="452D9515"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419</w:t>
            </w:r>
          </w:p>
        </w:tc>
        <w:tc>
          <w:tcPr>
            <w:tcW w:w="1299" w:type="dxa"/>
          </w:tcPr>
          <w:p w14:paraId="00BD330E"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357</w:t>
            </w:r>
          </w:p>
        </w:tc>
        <w:tc>
          <w:tcPr>
            <w:tcW w:w="1299" w:type="dxa"/>
          </w:tcPr>
          <w:p w14:paraId="755C4D31" w14:textId="77777777" w:rsidR="00126949" w:rsidRPr="00B01068" w:rsidRDefault="00126949" w:rsidP="00B01068">
            <w:pPr>
              <w:spacing w:before="100" w:beforeAutospacing="1" w:after="100" w:afterAutospacing="1"/>
              <w:rPr>
                <w:rFonts w:ascii="Cambria" w:hAnsi="Cambria"/>
              </w:rPr>
            </w:pPr>
            <w:r w:rsidRPr="00B01068">
              <w:rPr>
                <w:rFonts w:ascii="Cambria" w:hAnsi="Cambria"/>
              </w:rPr>
              <w:t>1,415</w:t>
            </w:r>
          </w:p>
        </w:tc>
      </w:tr>
    </w:tbl>
    <w:p w14:paraId="30125BD8" w14:textId="77777777" w:rsidR="00126949" w:rsidRPr="00B01068" w:rsidRDefault="00126949" w:rsidP="00B01068">
      <w:pPr>
        <w:spacing w:before="100" w:beforeAutospacing="1" w:after="100" w:afterAutospacing="1"/>
        <w:rPr>
          <w:rFonts w:ascii="Cambria" w:hAnsi="Cambria"/>
        </w:rPr>
      </w:pPr>
    </w:p>
    <w:p w14:paraId="57C3E5BE" w14:textId="275423E9" w:rsidR="00B229D2" w:rsidRPr="00B01068" w:rsidRDefault="00EA3DF8" w:rsidP="00B01068">
      <w:pPr>
        <w:spacing w:before="100" w:beforeAutospacing="1" w:after="100" w:afterAutospacing="1"/>
        <w:rPr>
          <w:rFonts w:ascii="Cambria" w:hAnsi="Cambria"/>
          <w:b/>
          <w:bCs/>
        </w:rPr>
      </w:pPr>
      <w:r w:rsidRPr="00B01068">
        <w:rPr>
          <w:rFonts w:ascii="Cambria" w:hAnsi="Cambria"/>
          <w:b/>
          <w:bCs/>
        </w:rPr>
        <w:t>Source:</w:t>
      </w:r>
    </w:p>
    <w:p w14:paraId="1A8D397C" w14:textId="667AE999" w:rsidR="00E1626E" w:rsidRPr="00E1626E" w:rsidRDefault="008346F4" w:rsidP="00B01068">
      <w:pPr>
        <w:spacing w:before="100" w:beforeAutospacing="1" w:after="100" w:afterAutospacing="1" w:line="240" w:lineRule="auto"/>
        <w:rPr>
          <w:rFonts w:ascii="Cambria" w:eastAsia="Times New Roman" w:hAnsi="Cambria" w:cs="Segoe UI"/>
          <w:lang w:val="en-GB" w:eastAsia="en-GB" w:bidi="ta-IN"/>
        </w:rPr>
      </w:pPr>
      <w:r w:rsidRPr="008346F4">
        <w:rPr>
          <w:rFonts w:ascii="Cambria" w:eastAsia="Times New Roman" w:hAnsi="Cambria" w:cs="Segoe UI"/>
          <w:lang w:val="en-GB" w:eastAsia="en-GB" w:bidi="ta-IN"/>
        </w:rPr>
        <w:t xml:space="preserve">Central Bank of Sri Lanka, Weekly Indicators </w:t>
      </w:r>
      <w:r w:rsidR="00594557" w:rsidRPr="00B01068">
        <w:rPr>
          <w:rFonts w:ascii="Cambria" w:eastAsia="Times New Roman" w:hAnsi="Cambria" w:cs="Segoe UI"/>
          <w:lang w:val="en-GB" w:eastAsia="en-GB" w:bidi="ta-IN"/>
        </w:rPr>
        <w:t>3</w:t>
      </w:r>
      <w:r w:rsidR="00594557" w:rsidRPr="00B01068">
        <w:rPr>
          <w:rFonts w:ascii="Cambria" w:eastAsia="Times New Roman" w:hAnsi="Cambria" w:cs="Segoe UI"/>
          <w:vertAlign w:val="superscript"/>
          <w:lang w:val="en-GB" w:eastAsia="en-GB" w:bidi="ta-IN"/>
        </w:rPr>
        <w:t>rd</w:t>
      </w:r>
      <w:r w:rsidRPr="008346F4">
        <w:rPr>
          <w:rFonts w:ascii="Cambria" w:eastAsia="Times New Roman" w:hAnsi="Cambria" w:cs="Segoe UI"/>
          <w:lang w:val="en-GB" w:eastAsia="en-GB" w:bidi="ta-IN"/>
        </w:rPr>
        <w:t xml:space="preserve"> </w:t>
      </w:r>
      <w:r w:rsidR="00594557" w:rsidRPr="00B01068">
        <w:rPr>
          <w:rFonts w:ascii="Cambria" w:eastAsia="Times New Roman" w:hAnsi="Cambria" w:cs="Segoe UI"/>
          <w:lang w:val="en-GB" w:eastAsia="en-GB" w:bidi="ta-IN"/>
        </w:rPr>
        <w:t xml:space="preserve">January </w:t>
      </w:r>
      <w:r w:rsidRPr="008346F4">
        <w:rPr>
          <w:rFonts w:ascii="Cambria" w:eastAsia="Times New Roman" w:hAnsi="Cambria" w:cs="Segoe UI"/>
          <w:lang w:val="en-GB" w:eastAsia="en-GB" w:bidi="ta-IN"/>
        </w:rPr>
        <w:t>202</w:t>
      </w:r>
      <w:r w:rsidR="00594557" w:rsidRPr="00B01068">
        <w:rPr>
          <w:rFonts w:ascii="Cambria" w:eastAsia="Times New Roman" w:hAnsi="Cambria" w:cs="Segoe UI"/>
          <w:lang w:val="en-GB" w:eastAsia="en-GB" w:bidi="ta-IN"/>
        </w:rPr>
        <w:t>1</w:t>
      </w:r>
      <w:r w:rsidRPr="008346F4">
        <w:rPr>
          <w:rFonts w:ascii="Cambria" w:eastAsia="Times New Roman" w:hAnsi="Cambria" w:cs="Segoe UI"/>
          <w:lang w:val="en-GB" w:eastAsia="en-GB" w:bidi="ta-IN"/>
        </w:rPr>
        <w:t xml:space="preserve">, Table </w:t>
      </w:r>
      <w:r w:rsidR="009D70DF" w:rsidRPr="00B01068">
        <w:rPr>
          <w:rFonts w:ascii="Cambria" w:eastAsia="Times New Roman" w:hAnsi="Cambria" w:cs="Segoe UI"/>
          <w:lang w:val="en-GB" w:eastAsia="en-GB" w:bidi="ta-IN"/>
        </w:rPr>
        <w:t>4.3</w:t>
      </w:r>
      <w:r w:rsidRPr="008346F4">
        <w:rPr>
          <w:rFonts w:ascii="Cambria" w:eastAsia="Times New Roman" w:hAnsi="Cambria" w:cs="Segoe UI"/>
          <w:lang w:val="en-GB" w:eastAsia="en-GB" w:bidi="ta-IN"/>
        </w:rPr>
        <w:t>, p.1</w:t>
      </w:r>
      <w:r w:rsidR="009D70DF" w:rsidRPr="00B01068">
        <w:rPr>
          <w:rFonts w:ascii="Cambria" w:eastAsia="Times New Roman" w:hAnsi="Cambria" w:cs="Segoe UI"/>
          <w:lang w:val="en-GB" w:eastAsia="en-GB" w:bidi="ta-IN"/>
        </w:rPr>
        <w:t>5</w:t>
      </w:r>
      <w:r w:rsidRPr="008346F4">
        <w:rPr>
          <w:rFonts w:ascii="Cambria" w:eastAsia="Times New Roman" w:hAnsi="Cambria" w:cs="Segoe UI"/>
          <w:lang w:val="en-GB" w:eastAsia="en-GB" w:bidi="ta-IN"/>
        </w:rPr>
        <w:t>, available at:</w:t>
      </w:r>
      <w:r w:rsidR="00B01068">
        <w:rPr>
          <w:rFonts w:ascii="Cambria" w:eastAsia="Times New Roman" w:hAnsi="Cambria" w:cs="Segoe UI"/>
          <w:lang w:val="en-GB" w:eastAsia="en-GB" w:bidi="ta-IN"/>
        </w:rPr>
        <w:t xml:space="preserve"> </w:t>
      </w:r>
      <w:hyperlink r:id="rId8" w:history="1">
        <w:r w:rsidR="00B01068" w:rsidRPr="0028702A">
          <w:rPr>
            <w:rStyle w:val="Hyperlink"/>
            <w:rFonts w:ascii="Cambria" w:eastAsia="Times New Roman" w:hAnsi="Cambria" w:cs="Calibri"/>
            <w:lang w:val="en-GB" w:eastAsia="en-GB" w:bidi="ta-IN"/>
          </w:rPr>
          <w:t>https://www.cbsl.gov.lk/sites/default/files/cbslweb_documents/statistics/wei/WEI_20200103_e_0.pdf</w:t>
        </w:r>
      </w:hyperlink>
      <w:r w:rsidR="00E1626E" w:rsidRPr="00E1626E">
        <w:rPr>
          <w:rFonts w:ascii="Cambria" w:eastAsia="Times New Roman" w:hAnsi="Cambria" w:cs="Calibri"/>
          <w:color w:val="000000"/>
          <w:lang w:val="en-GB" w:eastAsia="en-GB" w:bidi="ta-IN"/>
        </w:rPr>
        <w:t> </w:t>
      </w:r>
    </w:p>
    <w:p w14:paraId="4074C933" w14:textId="0363B55F" w:rsidR="00E1626E" w:rsidRPr="00E1626E" w:rsidRDefault="008346F4" w:rsidP="00B01068">
      <w:pPr>
        <w:spacing w:before="100" w:beforeAutospacing="1" w:after="100" w:afterAutospacing="1" w:line="240" w:lineRule="auto"/>
        <w:rPr>
          <w:rFonts w:ascii="Cambria" w:eastAsia="Times New Roman" w:hAnsi="Cambria" w:cs="Segoe UI"/>
          <w:lang w:val="en-GB" w:eastAsia="en-GB" w:bidi="ta-IN"/>
        </w:rPr>
      </w:pPr>
      <w:r w:rsidRPr="008346F4">
        <w:rPr>
          <w:rFonts w:ascii="Cambria" w:eastAsia="Times New Roman" w:hAnsi="Cambria" w:cs="Segoe UI"/>
          <w:lang w:val="en-GB" w:eastAsia="en-GB" w:bidi="ta-IN"/>
        </w:rPr>
        <w:t xml:space="preserve">Central Bank of Sri Lanka, Weekly Indicators </w:t>
      </w:r>
      <w:r w:rsidR="00594557" w:rsidRPr="00B01068">
        <w:rPr>
          <w:rFonts w:ascii="Cambria" w:eastAsia="Times New Roman" w:hAnsi="Cambria" w:cs="Segoe UI"/>
          <w:lang w:val="en-GB" w:eastAsia="en-GB" w:bidi="ta-IN"/>
        </w:rPr>
        <w:t>20</w:t>
      </w:r>
      <w:r w:rsidR="00594557" w:rsidRPr="00B01068">
        <w:rPr>
          <w:rFonts w:ascii="Cambria" w:eastAsia="Times New Roman" w:hAnsi="Cambria" w:cs="Segoe UI"/>
          <w:vertAlign w:val="superscript"/>
          <w:lang w:val="en-GB" w:eastAsia="en-GB" w:bidi="ta-IN"/>
        </w:rPr>
        <w:t>th</w:t>
      </w:r>
      <w:r w:rsidR="00594557" w:rsidRPr="00B01068">
        <w:rPr>
          <w:rFonts w:ascii="Cambria" w:eastAsia="Times New Roman" w:hAnsi="Cambria" w:cs="Segoe UI"/>
          <w:lang w:val="en-GB" w:eastAsia="en-GB" w:bidi="ta-IN"/>
        </w:rPr>
        <w:t xml:space="preserve"> February </w:t>
      </w:r>
      <w:r w:rsidRPr="008346F4">
        <w:rPr>
          <w:rFonts w:ascii="Cambria" w:eastAsia="Times New Roman" w:hAnsi="Cambria" w:cs="Segoe UI"/>
          <w:lang w:val="en-GB" w:eastAsia="en-GB" w:bidi="ta-IN"/>
        </w:rPr>
        <w:t>20</w:t>
      </w:r>
      <w:r w:rsidR="00594557" w:rsidRPr="00B01068">
        <w:rPr>
          <w:rFonts w:ascii="Cambria" w:eastAsia="Times New Roman" w:hAnsi="Cambria" w:cs="Segoe UI"/>
          <w:lang w:val="en-GB" w:eastAsia="en-GB" w:bidi="ta-IN"/>
        </w:rPr>
        <w:t>15</w:t>
      </w:r>
      <w:r w:rsidRPr="008346F4">
        <w:rPr>
          <w:rFonts w:ascii="Cambria" w:eastAsia="Times New Roman" w:hAnsi="Cambria" w:cs="Segoe UI"/>
          <w:lang w:val="en-GB" w:eastAsia="en-GB" w:bidi="ta-IN"/>
        </w:rPr>
        <w:t xml:space="preserve">, Table </w:t>
      </w:r>
      <w:r w:rsidR="009D70DF" w:rsidRPr="00B01068">
        <w:rPr>
          <w:rFonts w:ascii="Cambria" w:eastAsia="Times New Roman" w:hAnsi="Cambria" w:cs="Segoe UI"/>
          <w:lang w:val="en-GB" w:eastAsia="en-GB" w:bidi="ta-IN"/>
        </w:rPr>
        <w:t>4.4</w:t>
      </w:r>
      <w:r w:rsidRPr="008346F4">
        <w:rPr>
          <w:rFonts w:ascii="Cambria" w:eastAsia="Times New Roman" w:hAnsi="Cambria" w:cs="Segoe UI"/>
          <w:lang w:val="en-GB" w:eastAsia="en-GB" w:bidi="ta-IN"/>
        </w:rPr>
        <w:t>, p.1</w:t>
      </w:r>
      <w:r w:rsidR="009D70DF" w:rsidRPr="00B01068">
        <w:rPr>
          <w:rFonts w:ascii="Cambria" w:eastAsia="Times New Roman" w:hAnsi="Cambria" w:cs="Segoe UI"/>
          <w:lang w:val="en-GB" w:eastAsia="en-GB" w:bidi="ta-IN"/>
        </w:rPr>
        <w:t>6</w:t>
      </w:r>
      <w:r w:rsidRPr="008346F4">
        <w:rPr>
          <w:rFonts w:ascii="Cambria" w:eastAsia="Times New Roman" w:hAnsi="Cambria" w:cs="Segoe UI"/>
          <w:lang w:val="en-GB" w:eastAsia="en-GB" w:bidi="ta-IN"/>
        </w:rPr>
        <w:t>, available at:</w:t>
      </w:r>
      <w:r w:rsidR="00B01068">
        <w:rPr>
          <w:rFonts w:ascii="Cambria" w:eastAsia="Times New Roman" w:hAnsi="Cambria" w:cs="Segoe UI"/>
          <w:lang w:val="en-GB" w:eastAsia="en-GB" w:bidi="ta-IN"/>
        </w:rPr>
        <w:t xml:space="preserve"> </w:t>
      </w:r>
      <w:hyperlink r:id="rId9" w:history="1">
        <w:r w:rsidR="00B01068" w:rsidRPr="00E1626E">
          <w:rPr>
            <w:rStyle w:val="Hyperlink"/>
            <w:rFonts w:ascii="Cambria" w:eastAsia="Times New Roman" w:hAnsi="Cambria" w:cs="Calibri"/>
            <w:lang w:val="en-GB" w:eastAsia="en-GB" w:bidi="ta-IN"/>
          </w:rPr>
          <w:t>https://www.cbsl.gov.lk/sites/default/files/cbslweb_documents/statistics/wei/wei_20150220.pdf</w:t>
        </w:r>
      </w:hyperlink>
    </w:p>
    <w:p w14:paraId="490F4B08" w14:textId="70EA1E94" w:rsidR="00E1626E" w:rsidRPr="00E1626E" w:rsidRDefault="008346F4" w:rsidP="00B01068">
      <w:pPr>
        <w:spacing w:before="100" w:beforeAutospacing="1" w:after="100" w:afterAutospacing="1" w:line="240" w:lineRule="auto"/>
        <w:rPr>
          <w:rFonts w:ascii="Cambria" w:eastAsia="Times New Roman" w:hAnsi="Cambria" w:cs="Segoe UI"/>
          <w:lang w:val="en-GB" w:eastAsia="en-GB" w:bidi="ta-IN"/>
        </w:rPr>
      </w:pPr>
      <w:r w:rsidRPr="008346F4">
        <w:rPr>
          <w:rFonts w:ascii="Cambria" w:eastAsia="Times New Roman" w:hAnsi="Cambria" w:cs="Segoe UI"/>
          <w:lang w:val="en-GB" w:eastAsia="en-GB" w:bidi="ta-IN"/>
        </w:rPr>
        <w:t xml:space="preserve">Central Bank of Sri Lanka, Weekly Indicators </w:t>
      </w:r>
      <w:r w:rsidR="00594557" w:rsidRPr="00B01068">
        <w:rPr>
          <w:rFonts w:ascii="Cambria" w:eastAsia="Times New Roman" w:hAnsi="Cambria" w:cs="Segoe UI"/>
          <w:lang w:val="en-GB" w:eastAsia="en-GB" w:bidi="ta-IN"/>
        </w:rPr>
        <w:t>29</w:t>
      </w:r>
      <w:r w:rsidRPr="008346F4">
        <w:rPr>
          <w:rFonts w:ascii="Cambria" w:eastAsia="Times New Roman" w:hAnsi="Cambria" w:cs="Segoe UI"/>
          <w:vertAlign w:val="superscript"/>
          <w:lang w:val="en-GB" w:eastAsia="en-GB" w:bidi="ta-IN"/>
        </w:rPr>
        <w:t>th</w:t>
      </w:r>
      <w:r w:rsidRPr="008346F4">
        <w:rPr>
          <w:rFonts w:ascii="Cambria" w:eastAsia="Times New Roman" w:hAnsi="Cambria" w:cs="Segoe UI"/>
          <w:lang w:val="en-GB" w:eastAsia="en-GB" w:bidi="ta-IN"/>
        </w:rPr>
        <w:t xml:space="preserve"> </w:t>
      </w:r>
      <w:r w:rsidR="00594557" w:rsidRPr="00B01068">
        <w:rPr>
          <w:rFonts w:ascii="Cambria" w:eastAsia="Times New Roman" w:hAnsi="Cambria" w:cs="Segoe UI"/>
          <w:lang w:val="en-GB" w:eastAsia="en-GB" w:bidi="ta-IN"/>
        </w:rPr>
        <w:t xml:space="preserve">November </w:t>
      </w:r>
      <w:r w:rsidRPr="008346F4">
        <w:rPr>
          <w:rFonts w:ascii="Cambria" w:eastAsia="Times New Roman" w:hAnsi="Cambria" w:cs="Segoe UI"/>
          <w:lang w:val="en-GB" w:eastAsia="en-GB" w:bidi="ta-IN"/>
        </w:rPr>
        <w:t>20</w:t>
      </w:r>
      <w:r w:rsidR="00594557" w:rsidRPr="00B01068">
        <w:rPr>
          <w:rFonts w:ascii="Cambria" w:eastAsia="Times New Roman" w:hAnsi="Cambria" w:cs="Segoe UI"/>
          <w:lang w:val="en-GB" w:eastAsia="en-GB" w:bidi="ta-IN"/>
        </w:rPr>
        <w:t>19</w:t>
      </w:r>
      <w:r w:rsidRPr="008346F4">
        <w:rPr>
          <w:rFonts w:ascii="Cambria" w:eastAsia="Times New Roman" w:hAnsi="Cambria" w:cs="Segoe UI"/>
          <w:lang w:val="en-GB" w:eastAsia="en-GB" w:bidi="ta-IN"/>
        </w:rPr>
        <w:t xml:space="preserve">, Table </w:t>
      </w:r>
      <w:r w:rsidR="009D70DF" w:rsidRPr="00B01068">
        <w:rPr>
          <w:rFonts w:ascii="Cambria" w:eastAsia="Times New Roman" w:hAnsi="Cambria" w:cs="Segoe UI"/>
          <w:lang w:val="en-GB" w:eastAsia="en-GB" w:bidi="ta-IN"/>
        </w:rPr>
        <w:t>4.3</w:t>
      </w:r>
      <w:r w:rsidRPr="008346F4">
        <w:rPr>
          <w:rFonts w:ascii="Cambria" w:eastAsia="Times New Roman" w:hAnsi="Cambria" w:cs="Segoe UI"/>
          <w:lang w:val="en-GB" w:eastAsia="en-GB" w:bidi="ta-IN"/>
        </w:rPr>
        <w:t>, p.1</w:t>
      </w:r>
      <w:r w:rsidR="009D70DF" w:rsidRPr="00B01068">
        <w:rPr>
          <w:rFonts w:ascii="Cambria" w:eastAsia="Times New Roman" w:hAnsi="Cambria" w:cs="Segoe UI"/>
          <w:lang w:val="en-GB" w:eastAsia="en-GB" w:bidi="ta-IN"/>
        </w:rPr>
        <w:t>5</w:t>
      </w:r>
      <w:r w:rsidRPr="008346F4">
        <w:rPr>
          <w:rFonts w:ascii="Cambria" w:eastAsia="Times New Roman" w:hAnsi="Cambria" w:cs="Segoe UI"/>
          <w:lang w:val="en-GB" w:eastAsia="en-GB" w:bidi="ta-IN"/>
        </w:rPr>
        <w:t>, available at:</w:t>
      </w:r>
      <w:r w:rsidR="00B01068">
        <w:rPr>
          <w:rFonts w:ascii="Cambria" w:eastAsia="Times New Roman" w:hAnsi="Cambria" w:cs="Segoe UI"/>
          <w:lang w:val="en-GB" w:eastAsia="en-GB" w:bidi="ta-IN"/>
        </w:rPr>
        <w:t xml:space="preserve"> </w:t>
      </w:r>
      <w:hyperlink r:id="rId10" w:history="1">
        <w:r w:rsidR="00B01068" w:rsidRPr="00E1626E">
          <w:rPr>
            <w:rStyle w:val="Hyperlink"/>
            <w:rFonts w:ascii="Cambria" w:eastAsia="Times New Roman" w:hAnsi="Cambria" w:cs="Calibri"/>
            <w:shd w:val="clear" w:color="auto" w:fill="FFFFFF"/>
            <w:lang w:val="en-GB" w:eastAsia="en-GB" w:bidi="ta-IN"/>
          </w:rPr>
          <w:t>https://www.cbsl.gov.lk/sites/default/files/cbslweb_documents/statistics/wei/WEI_29_11_2019_e.pdf</w:t>
        </w:r>
      </w:hyperlink>
      <w:r w:rsidR="00E1626E" w:rsidRPr="00E1626E">
        <w:rPr>
          <w:rFonts w:ascii="Cambria" w:eastAsia="Times New Roman" w:hAnsi="Cambria" w:cs="Calibri"/>
          <w:color w:val="000000"/>
          <w:shd w:val="clear" w:color="auto" w:fill="FFFFFF"/>
          <w:lang w:val="en-GB" w:eastAsia="en-GB" w:bidi="ta-IN"/>
        </w:rPr>
        <w:t> </w:t>
      </w:r>
    </w:p>
    <w:p w14:paraId="249A2B76" w14:textId="68C48ED4" w:rsidR="00E1626E" w:rsidRPr="00E1626E" w:rsidRDefault="00CA7586" w:rsidP="00B01068">
      <w:pPr>
        <w:spacing w:before="100" w:beforeAutospacing="1" w:after="100" w:afterAutospacing="1" w:line="240" w:lineRule="auto"/>
        <w:rPr>
          <w:rFonts w:ascii="Cambria" w:eastAsia="Times New Roman" w:hAnsi="Cambria" w:cs="Segoe UI"/>
          <w:lang w:val="en-GB" w:eastAsia="en-GB" w:bidi="ta-IN"/>
        </w:rPr>
      </w:pPr>
      <w:r w:rsidRPr="00CA7586">
        <w:rPr>
          <w:rFonts w:ascii="Cambria" w:eastAsia="Times New Roman" w:hAnsi="Cambria" w:cs="Segoe UI"/>
          <w:lang w:val="en-GB" w:eastAsia="en-GB" w:bidi="ta-IN"/>
        </w:rPr>
        <w:t xml:space="preserve">Central Bank of Sri Lanka, </w:t>
      </w:r>
      <w:r w:rsidRPr="00CA7586">
        <w:rPr>
          <w:rFonts w:ascii="Cambria" w:eastAsia="Times New Roman" w:hAnsi="Cambria" w:cs="Segoe UI"/>
          <w:i/>
          <w:iCs/>
          <w:lang w:val="en-GB" w:eastAsia="en-GB" w:bidi="ta-IN"/>
        </w:rPr>
        <w:t>Annual Report</w:t>
      </w:r>
      <w:r w:rsidRPr="00CA7586">
        <w:rPr>
          <w:rFonts w:ascii="Cambria" w:eastAsia="Times New Roman" w:hAnsi="Cambria" w:cs="Segoe UI"/>
          <w:lang w:val="en-GB" w:eastAsia="en-GB" w:bidi="ta-IN"/>
        </w:rPr>
        <w:t xml:space="preserve"> (201</w:t>
      </w:r>
      <w:r w:rsidR="00B01068" w:rsidRPr="00B01068">
        <w:rPr>
          <w:rFonts w:ascii="Cambria" w:eastAsia="Times New Roman" w:hAnsi="Cambria" w:cs="Segoe UI"/>
          <w:lang w:val="en-GB" w:eastAsia="en-GB" w:bidi="ta-IN"/>
        </w:rPr>
        <w:t>5</w:t>
      </w:r>
      <w:r w:rsidRPr="00CA7586">
        <w:rPr>
          <w:rFonts w:ascii="Cambria" w:eastAsia="Times New Roman" w:hAnsi="Cambria" w:cs="Segoe UI"/>
          <w:lang w:val="en-GB" w:eastAsia="en-GB" w:bidi="ta-IN"/>
        </w:rPr>
        <w:t>), Table 5</w:t>
      </w:r>
      <w:r w:rsidR="00B01068" w:rsidRPr="00B01068">
        <w:rPr>
          <w:rFonts w:ascii="Cambria" w:eastAsia="Times New Roman" w:hAnsi="Cambria" w:cs="Segoe UI"/>
          <w:lang w:val="en-GB" w:eastAsia="en-GB" w:bidi="ta-IN"/>
        </w:rPr>
        <w:t>.11</w:t>
      </w:r>
      <w:r w:rsidRPr="00CA7586">
        <w:rPr>
          <w:rFonts w:ascii="Cambria" w:eastAsia="Times New Roman" w:hAnsi="Cambria" w:cs="Segoe UI"/>
          <w:lang w:val="en-GB" w:eastAsia="en-GB" w:bidi="ta-IN"/>
        </w:rPr>
        <w:t xml:space="preserve">, </w:t>
      </w:r>
      <w:r w:rsidR="00B01068" w:rsidRPr="00B01068">
        <w:rPr>
          <w:rFonts w:ascii="Cambria" w:eastAsia="Times New Roman" w:hAnsi="Cambria" w:cs="Segoe UI"/>
          <w:lang w:val="en-GB" w:eastAsia="en-GB" w:bidi="ta-IN"/>
        </w:rPr>
        <w:t xml:space="preserve">p. 165 </w:t>
      </w:r>
      <w:r w:rsidRPr="00CA7586">
        <w:rPr>
          <w:rFonts w:ascii="Cambria" w:eastAsia="Times New Roman" w:hAnsi="Cambria" w:cs="Segoe UI"/>
          <w:lang w:val="en-GB" w:eastAsia="en-GB" w:bidi="ta-IN"/>
        </w:rPr>
        <w:t>available at:</w:t>
      </w:r>
      <w:r w:rsidR="00B01068">
        <w:rPr>
          <w:rFonts w:ascii="Cambria" w:eastAsia="Times New Roman" w:hAnsi="Cambria" w:cs="Segoe UI"/>
          <w:lang w:val="en-GB" w:eastAsia="en-GB" w:bidi="ta-IN"/>
        </w:rPr>
        <w:t xml:space="preserve"> </w:t>
      </w:r>
      <w:hyperlink r:id="rId11" w:history="1">
        <w:r w:rsidR="00B01068" w:rsidRPr="00E1626E">
          <w:rPr>
            <w:rStyle w:val="Hyperlink"/>
            <w:rFonts w:ascii="Cambria" w:eastAsia="Times New Roman" w:hAnsi="Cambria" w:cs="Calibri"/>
            <w:shd w:val="clear" w:color="auto" w:fill="FFFFFF"/>
            <w:lang w:val="en-GB" w:eastAsia="en-GB" w:bidi="ta-IN"/>
          </w:rPr>
          <w:t>https://www.cbsl.gov.lk/sites/default/files/cbslweb_documents/publications/annual_report/2015/en/9_Chapter_05.pdf</w:t>
        </w:r>
      </w:hyperlink>
      <w:r w:rsidR="00E1626E" w:rsidRPr="00E1626E">
        <w:rPr>
          <w:rFonts w:ascii="Cambria" w:eastAsia="Times New Roman" w:hAnsi="Cambria" w:cs="Calibri"/>
          <w:color w:val="000000"/>
          <w:shd w:val="clear" w:color="auto" w:fill="FFFFFF"/>
          <w:lang w:val="en-GB" w:eastAsia="en-GB" w:bidi="ta-IN"/>
        </w:rPr>
        <w:t> </w:t>
      </w:r>
    </w:p>
    <w:p w14:paraId="498217E5" w14:textId="1C3E5A75" w:rsidR="00E1626E" w:rsidRPr="00E1626E" w:rsidRDefault="00CA7586" w:rsidP="00B01068">
      <w:pPr>
        <w:spacing w:before="100" w:beforeAutospacing="1" w:after="100" w:afterAutospacing="1" w:line="240" w:lineRule="auto"/>
        <w:rPr>
          <w:rFonts w:ascii="Cambria" w:eastAsia="Times New Roman" w:hAnsi="Cambria" w:cs="Segoe UI"/>
          <w:lang w:val="en-GB" w:eastAsia="en-GB" w:bidi="ta-IN"/>
        </w:rPr>
      </w:pPr>
      <w:r w:rsidRPr="00CA7586">
        <w:rPr>
          <w:rFonts w:ascii="Cambria" w:eastAsia="Times New Roman" w:hAnsi="Cambria" w:cs="Segoe UI"/>
          <w:lang w:val="en-GB" w:eastAsia="en-GB" w:bidi="ta-IN"/>
        </w:rPr>
        <w:t xml:space="preserve">Central Bank of Sri Lanka, </w:t>
      </w:r>
      <w:r w:rsidRPr="00CA7586">
        <w:rPr>
          <w:rFonts w:ascii="Cambria" w:eastAsia="Times New Roman" w:hAnsi="Cambria" w:cs="Segoe UI"/>
          <w:i/>
          <w:iCs/>
          <w:lang w:val="en-GB" w:eastAsia="en-GB" w:bidi="ta-IN"/>
        </w:rPr>
        <w:t>Annual Report</w:t>
      </w:r>
      <w:r w:rsidRPr="00CA7586">
        <w:rPr>
          <w:rFonts w:ascii="Cambria" w:eastAsia="Times New Roman" w:hAnsi="Cambria" w:cs="Segoe UI"/>
          <w:lang w:val="en-GB" w:eastAsia="en-GB" w:bidi="ta-IN"/>
        </w:rPr>
        <w:t xml:space="preserve"> (2019), Table </w:t>
      </w:r>
      <w:r w:rsidR="00B01068" w:rsidRPr="00B01068">
        <w:rPr>
          <w:rFonts w:ascii="Cambria" w:eastAsia="Times New Roman" w:hAnsi="Cambria" w:cs="Segoe UI"/>
          <w:lang w:val="en-GB" w:eastAsia="en-GB" w:bidi="ta-IN"/>
        </w:rPr>
        <w:t>5.12</w:t>
      </w:r>
      <w:r w:rsidRPr="00CA7586">
        <w:rPr>
          <w:rFonts w:ascii="Cambria" w:eastAsia="Times New Roman" w:hAnsi="Cambria" w:cs="Segoe UI"/>
          <w:lang w:val="en-GB" w:eastAsia="en-GB" w:bidi="ta-IN"/>
        </w:rPr>
        <w:t xml:space="preserve">, </w:t>
      </w:r>
      <w:r w:rsidR="00B01068" w:rsidRPr="00B01068">
        <w:rPr>
          <w:rFonts w:ascii="Cambria" w:eastAsia="Times New Roman" w:hAnsi="Cambria" w:cs="Segoe UI"/>
          <w:lang w:val="en-GB" w:eastAsia="en-GB" w:bidi="ta-IN"/>
        </w:rPr>
        <w:t xml:space="preserve">p. 198, </w:t>
      </w:r>
      <w:r w:rsidRPr="00CA7586">
        <w:rPr>
          <w:rFonts w:ascii="Cambria" w:eastAsia="Times New Roman" w:hAnsi="Cambria" w:cs="Segoe UI"/>
          <w:lang w:val="en-GB" w:eastAsia="en-GB" w:bidi="ta-IN"/>
        </w:rPr>
        <w:t>available at:</w:t>
      </w:r>
      <w:r w:rsidR="00B01068">
        <w:rPr>
          <w:rFonts w:ascii="Cambria" w:eastAsia="Times New Roman" w:hAnsi="Cambria" w:cs="Segoe UI"/>
          <w:lang w:val="en-GB" w:eastAsia="en-GB" w:bidi="ta-IN"/>
        </w:rPr>
        <w:t xml:space="preserve"> </w:t>
      </w:r>
      <w:hyperlink r:id="rId12" w:history="1">
        <w:r w:rsidR="00B01068" w:rsidRPr="00E1626E">
          <w:rPr>
            <w:rStyle w:val="Hyperlink"/>
            <w:rFonts w:ascii="Cambria" w:eastAsia="Times New Roman" w:hAnsi="Cambria" w:cs="Calibri"/>
            <w:shd w:val="clear" w:color="auto" w:fill="FFFFFF"/>
            <w:lang w:val="en-GB" w:eastAsia="en-GB" w:bidi="ta-IN"/>
          </w:rPr>
          <w:t>https://www.cbsl.gov.lk/sites/default/files/cbslweb_documents/publications/annual_report/2019/en/9_Chapter_05.pdf</w:t>
        </w:r>
      </w:hyperlink>
      <w:r w:rsidR="00E1626E" w:rsidRPr="00E1626E">
        <w:rPr>
          <w:rFonts w:ascii="Cambria" w:eastAsia="Times New Roman" w:hAnsi="Cambria" w:cs="Calibri"/>
          <w:color w:val="000000"/>
          <w:shd w:val="clear" w:color="auto" w:fill="FFFFFF"/>
          <w:lang w:val="en-GB" w:eastAsia="en-GB" w:bidi="ta-IN"/>
        </w:rPr>
        <w:t> </w:t>
      </w:r>
    </w:p>
    <w:p w14:paraId="15383203" w14:textId="77777777" w:rsidR="00734B38" w:rsidRPr="00B01068" w:rsidRDefault="00734B38" w:rsidP="00B01068">
      <w:pPr>
        <w:spacing w:before="100" w:beforeAutospacing="1" w:after="100" w:afterAutospacing="1"/>
        <w:rPr>
          <w:rFonts w:ascii="Cambria" w:hAnsi="Cambria"/>
          <w:b/>
          <w:bCs/>
        </w:rPr>
      </w:pPr>
    </w:p>
    <w:sectPr w:rsidR="00734B38" w:rsidRPr="00B010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Iskoola Pota">
    <w:panose1 w:val="020B0502040204020203"/>
    <w:charset w:val="00"/>
    <w:family w:val="swiss"/>
    <w:pitch w:val="variable"/>
    <w:sig w:usb0="00000003" w:usb1="00000000" w:usb2="000002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D2F6416"/>
    <w:multiLevelType w:val="hybridMultilevel"/>
    <w:tmpl w:val="5170BB5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949"/>
    <w:rsid w:val="00126949"/>
    <w:rsid w:val="00594557"/>
    <w:rsid w:val="005F2C8B"/>
    <w:rsid w:val="00734B38"/>
    <w:rsid w:val="00826258"/>
    <w:rsid w:val="008346F4"/>
    <w:rsid w:val="009A26C7"/>
    <w:rsid w:val="009D70DF"/>
    <w:rsid w:val="009E55C1"/>
    <w:rsid w:val="00B01068"/>
    <w:rsid w:val="00CA07C4"/>
    <w:rsid w:val="00CA7586"/>
    <w:rsid w:val="00D22AD7"/>
    <w:rsid w:val="00E117BF"/>
    <w:rsid w:val="00E1626E"/>
    <w:rsid w:val="00E74ADA"/>
    <w:rsid w:val="00EA3DF8"/>
    <w:rsid w:val="00FE12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D2ED8"/>
  <w15:chartTrackingRefBased/>
  <w15:docId w15:val="{DC0F90CC-A3CB-4998-947F-97380DE7E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94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6949"/>
    <w:pPr>
      <w:ind w:left="720"/>
      <w:contextualSpacing/>
    </w:pPr>
  </w:style>
  <w:style w:type="table" w:styleId="TableGrid">
    <w:name w:val="Table Grid"/>
    <w:basedOn w:val="TableNormal"/>
    <w:uiPriority w:val="39"/>
    <w:rsid w:val="0012694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26949"/>
    <w:rPr>
      <w:sz w:val="16"/>
      <w:szCs w:val="16"/>
    </w:rPr>
  </w:style>
  <w:style w:type="paragraph" w:styleId="CommentText">
    <w:name w:val="annotation text"/>
    <w:basedOn w:val="Normal"/>
    <w:link w:val="CommentTextChar"/>
    <w:uiPriority w:val="99"/>
    <w:semiHidden/>
    <w:unhideWhenUsed/>
    <w:rsid w:val="00126949"/>
    <w:pPr>
      <w:spacing w:line="240" w:lineRule="auto"/>
    </w:pPr>
    <w:rPr>
      <w:sz w:val="20"/>
      <w:szCs w:val="20"/>
    </w:rPr>
  </w:style>
  <w:style w:type="character" w:customStyle="1" w:styleId="CommentTextChar">
    <w:name w:val="Comment Text Char"/>
    <w:basedOn w:val="DefaultParagraphFont"/>
    <w:link w:val="CommentText"/>
    <w:uiPriority w:val="99"/>
    <w:semiHidden/>
    <w:rsid w:val="00126949"/>
    <w:rPr>
      <w:sz w:val="20"/>
      <w:szCs w:val="20"/>
      <w:lang w:val="en-US"/>
    </w:rPr>
  </w:style>
  <w:style w:type="character" w:styleId="Hyperlink">
    <w:name w:val="Hyperlink"/>
    <w:basedOn w:val="DefaultParagraphFont"/>
    <w:uiPriority w:val="99"/>
    <w:unhideWhenUsed/>
    <w:rsid w:val="00734B38"/>
    <w:rPr>
      <w:color w:val="0000FF"/>
      <w:u w:val="single"/>
    </w:rPr>
  </w:style>
  <w:style w:type="character" w:styleId="Emphasis">
    <w:name w:val="Emphasis"/>
    <w:basedOn w:val="DefaultParagraphFont"/>
    <w:uiPriority w:val="20"/>
    <w:qFormat/>
    <w:rsid w:val="00CA7586"/>
    <w:rPr>
      <w:i/>
      <w:iCs/>
    </w:rPr>
  </w:style>
  <w:style w:type="character" w:styleId="UnresolvedMention">
    <w:name w:val="Unresolved Mention"/>
    <w:basedOn w:val="DefaultParagraphFont"/>
    <w:uiPriority w:val="99"/>
    <w:semiHidden/>
    <w:unhideWhenUsed/>
    <w:rsid w:val="00B010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6100340">
      <w:bodyDiv w:val="1"/>
      <w:marLeft w:val="0"/>
      <w:marRight w:val="0"/>
      <w:marTop w:val="0"/>
      <w:marBottom w:val="0"/>
      <w:divBdr>
        <w:top w:val="none" w:sz="0" w:space="0" w:color="auto"/>
        <w:left w:val="none" w:sz="0" w:space="0" w:color="auto"/>
        <w:bottom w:val="none" w:sz="0" w:space="0" w:color="auto"/>
        <w:right w:val="none" w:sz="0" w:space="0" w:color="auto"/>
      </w:divBdr>
      <w:divsChild>
        <w:div w:id="1687707799">
          <w:marLeft w:val="0"/>
          <w:marRight w:val="0"/>
          <w:marTop w:val="0"/>
          <w:marBottom w:val="0"/>
          <w:divBdr>
            <w:top w:val="none" w:sz="0" w:space="0" w:color="auto"/>
            <w:left w:val="none" w:sz="0" w:space="0" w:color="auto"/>
            <w:bottom w:val="none" w:sz="0" w:space="0" w:color="auto"/>
            <w:right w:val="none" w:sz="0" w:space="0" w:color="auto"/>
          </w:divBdr>
        </w:div>
      </w:divsChild>
    </w:div>
    <w:div w:id="759254569">
      <w:bodyDiv w:val="1"/>
      <w:marLeft w:val="0"/>
      <w:marRight w:val="0"/>
      <w:marTop w:val="0"/>
      <w:marBottom w:val="0"/>
      <w:divBdr>
        <w:top w:val="none" w:sz="0" w:space="0" w:color="auto"/>
        <w:left w:val="none" w:sz="0" w:space="0" w:color="auto"/>
        <w:bottom w:val="none" w:sz="0" w:space="0" w:color="auto"/>
        <w:right w:val="none" w:sz="0" w:space="0" w:color="auto"/>
      </w:divBdr>
      <w:divsChild>
        <w:div w:id="1555772531">
          <w:marLeft w:val="0"/>
          <w:marRight w:val="0"/>
          <w:marTop w:val="0"/>
          <w:marBottom w:val="0"/>
          <w:divBdr>
            <w:top w:val="none" w:sz="0" w:space="0" w:color="auto"/>
            <w:left w:val="none" w:sz="0" w:space="0" w:color="auto"/>
            <w:bottom w:val="none" w:sz="0" w:space="0" w:color="auto"/>
            <w:right w:val="none" w:sz="0" w:space="0" w:color="auto"/>
          </w:divBdr>
        </w:div>
      </w:divsChild>
    </w:div>
    <w:div w:id="938565747">
      <w:bodyDiv w:val="1"/>
      <w:marLeft w:val="0"/>
      <w:marRight w:val="0"/>
      <w:marTop w:val="0"/>
      <w:marBottom w:val="0"/>
      <w:divBdr>
        <w:top w:val="none" w:sz="0" w:space="0" w:color="auto"/>
        <w:left w:val="none" w:sz="0" w:space="0" w:color="auto"/>
        <w:bottom w:val="none" w:sz="0" w:space="0" w:color="auto"/>
        <w:right w:val="none" w:sz="0" w:space="0" w:color="auto"/>
      </w:divBdr>
      <w:divsChild>
        <w:div w:id="732778544">
          <w:marLeft w:val="0"/>
          <w:marRight w:val="0"/>
          <w:marTop w:val="0"/>
          <w:marBottom w:val="0"/>
          <w:divBdr>
            <w:top w:val="none" w:sz="0" w:space="0" w:color="auto"/>
            <w:left w:val="none" w:sz="0" w:space="0" w:color="auto"/>
            <w:bottom w:val="none" w:sz="0" w:space="0" w:color="auto"/>
            <w:right w:val="none" w:sz="0" w:space="0" w:color="auto"/>
          </w:divBdr>
        </w:div>
        <w:div w:id="1844390053">
          <w:marLeft w:val="0"/>
          <w:marRight w:val="0"/>
          <w:marTop w:val="0"/>
          <w:marBottom w:val="0"/>
          <w:divBdr>
            <w:top w:val="none" w:sz="0" w:space="0" w:color="auto"/>
            <w:left w:val="none" w:sz="0" w:space="0" w:color="auto"/>
            <w:bottom w:val="none" w:sz="0" w:space="0" w:color="auto"/>
            <w:right w:val="none" w:sz="0" w:space="0" w:color="auto"/>
          </w:divBdr>
        </w:div>
        <w:div w:id="1372531720">
          <w:marLeft w:val="0"/>
          <w:marRight w:val="0"/>
          <w:marTop w:val="0"/>
          <w:marBottom w:val="0"/>
          <w:divBdr>
            <w:top w:val="none" w:sz="0" w:space="0" w:color="auto"/>
            <w:left w:val="none" w:sz="0" w:space="0" w:color="auto"/>
            <w:bottom w:val="none" w:sz="0" w:space="0" w:color="auto"/>
            <w:right w:val="none" w:sz="0" w:space="0" w:color="auto"/>
          </w:divBdr>
        </w:div>
        <w:div w:id="1403260313">
          <w:marLeft w:val="0"/>
          <w:marRight w:val="0"/>
          <w:marTop w:val="0"/>
          <w:marBottom w:val="0"/>
          <w:divBdr>
            <w:top w:val="none" w:sz="0" w:space="0" w:color="auto"/>
            <w:left w:val="none" w:sz="0" w:space="0" w:color="auto"/>
            <w:bottom w:val="none" w:sz="0" w:space="0" w:color="auto"/>
            <w:right w:val="none" w:sz="0" w:space="0" w:color="auto"/>
          </w:divBdr>
        </w:div>
        <w:div w:id="845248765">
          <w:marLeft w:val="0"/>
          <w:marRight w:val="0"/>
          <w:marTop w:val="0"/>
          <w:marBottom w:val="0"/>
          <w:divBdr>
            <w:top w:val="none" w:sz="0" w:space="0" w:color="auto"/>
            <w:left w:val="none" w:sz="0" w:space="0" w:color="auto"/>
            <w:bottom w:val="none" w:sz="0" w:space="0" w:color="auto"/>
            <w:right w:val="none" w:sz="0" w:space="0" w:color="auto"/>
          </w:divBdr>
        </w:div>
      </w:divsChild>
    </w:div>
    <w:div w:id="1226145599">
      <w:bodyDiv w:val="1"/>
      <w:marLeft w:val="0"/>
      <w:marRight w:val="0"/>
      <w:marTop w:val="0"/>
      <w:marBottom w:val="0"/>
      <w:divBdr>
        <w:top w:val="none" w:sz="0" w:space="0" w:color="auto"/>
        <w:left w:val="none" w:sz="0" w:space="0" w:color="auto"/>
        <w:bottom w:val="none" w:sz="0" w:space="0" w:color="auto"/>
        <w:right w:val="none" w:sz="0" w:space="0" w:color="auto"/>
      </w:divBdr>
      <w:divsChild>
        <w:div w:id="1064763642">
          <w:marLeft w:val="0"/>
          <w:marRight w:val="0"/>
          <w:marTop w:val="0"/>
          <w:marBottom w:val="0"/>
          <w:divBdr>
            <w:top w:val="none" w:sz="0" w:space="0" w:color="auto"/>
            <w:left w:val="none" w:sz="0" w:space="0" w:color="auto"/>
            <w:bottom w:val="none" w:sz="0" w:space="0" w:color="auto"/>
            <w:right w:val="none" w:sz="0" w:space="0" w:color="auto"/>
          </w:divBdr>
          <w:divsChild>
            <w:div w:id="636767692">
              <w:marLeft w:val="0"/>
              <w:marRight w:val="0"/>
              <w:marTop w:val="0"/>
              <w:marBottom w:val="0"/>
              <w:divBdr>
                <w:top w:val="none" w:sz="0" w:space="0" w:color="auto"/>
                <w:left w:val="none" w:sz="0" w:space="0" w:color="auto"/>
                <w:bottom w:val="none" w:sz="0" w:space="0" w:color="auto"/>
                <w:right w:val="none" w:sz="0" w:space="0" w:color="auto"/>
              </w:divBdr>
            </w:div>
            <w:div w:id="533887304">
              <w:marLeft w:val="0"/>
              <w:marRight w:val="0"/>
              <w:marTop w:val="0"/>
              <w:marBottom w:val="0"/>
              <w:divBdr>
                <w:top w:val="none" w:sz="0" w:space="0" w:color="auto"/>
                <w:left w:val="none" w:sz="0" w:space="0" w:color="auto"/>
                <w:bottom w:val="none" w:sz="0" w:space="0" w:color="auto"/>
                <w:right w:val="none" w:sz="0" w:space="0" w:color="auto"/>
              </w:divBdr>
            </w:div>
            <w:div w:id="1806965664">
              <w:marLeft w:val="0"/>
              <w:marRight w:val="0"/>
              <w:marTop w:val="0"/>
              <w:marBottom w:val="0"/>
              <w:divBdr>
                <w:top w:val="none" w:sz="0" w:space="0" w:color="auto"/>
                <w:left w:val="none" w:sz="0" w:space="0" w:color="auto"/>
                <w:bottom w:val="none" w:sz="0" w:space="0" w:color="auto"/>
                <w:right w:val="none" w:sz="0" w:space="0" w:color="auto"/>
              </w:divBdr>
            </w:div>
            <w:div w:id="1646471456">
              <w:marLeft w:val="0"/>
              <w:marRight w:val="0"/>
              <w:marTop w:val="0"/>
              <w:marBottom w:val="0"/>
              <w:divBdr>
                <w:top w:val="none" w:sz="0" w:space="0" w:color="auto"/>
                <w:left w:val="none" w:sz="0" w:space="0" w:color="auto"/>
                <w:bottom w:val="none" w:sz="0" w:space="0" w:color="auto"/>
                <w:right w:val="none" w:sz="0" w:space="0" w:color="auto"/>
              </w:divBdr>
            </w:div>
          </w:divsChild>
        </w:div>
        <w:div w:id="1976443762">
          <w:marLeft w:val="0"/>
          <w:marRight w:val="0"/>
          <w:marTop w:val="0"/>
          <w:marBottom w:val="0"/>
          <w:divBdr>
            <w:top w:val="none" w:sz="0" w:space="0" w:color="auto"/>
            <w:left w:val="none" w:sz="0" w:space="0" w:color="auto"/>
            <w:bottom w:val="none" w:sz="0" w:space="0" w:color="auto"/>
            <w:right w:val="none" w:sz="0" w:space="0" w:color="auto"/>
          </w:divBdr>
        </w:div>
        <w:div w:id="1777286519">
          <w:marLeft w:val="0"/>
          <w:marRight w:val="0"/>
          <w:marTop w:val="0"/>
          <w:marBottom w:val="0"/>
          <w:divBdr>
            <w:top w:val="none" w:sz="0" w:space="0" w:color="auto"/>
            <w:left w:val="none" w:sz="0" w:space="0" w:color="auto"/>
            <w:bottom w:val="none" w:sz="0" w:space="0" w:color="auto"/>
            <w:right w:val="none" w:sz="0" w:space="0" w:color="auto"/>
          </w:divBdr>
        </w:div>
        <w:div w:id="602809273">
          <w:marLeft w:val="0"/>
          <w:marRight w:val="0"/>
          <w:marTop w:val="0"/>
          <w:marBottom w:val="0"/>
          <w:divBdr>
            <w:top w:val="none" w:sz="0" w:space="0" w:color="auto"/>
            <w:left w:val="none" w:sz="0" w:space="0" w:color="auto"/>
            <w:bottom w:val="none" w:sz="0" w:space="0" w:color="auto"/>
            <w:right w:val="none" w:sz="0" w:space="0" w:color="auto"/>
          </w:divBdr>
        </w:div>
        <w:div w:id="211699308">
          <w:marLeft w:val="0"/>
          <w:marRight w:val="0"/>
          <w:marTop w:val="0"/>
          <w:marBottom w:val="0"/>
          <w:divBdr>
            <w:top w:val="none" w:sz="0" w:space="0" w:color="auto"/>
            <w:left w:val="none" w:sz="0" w:space="0" w:color="auto"/>
            <w:bottom w:val="none" w:sz="0" w:space="0" w:color="auto"/>
            <w:right w:val="none" w:sz="0" w:space="0" w:color="auto"/>
          </w:divBdr>
        </w:div>
      </w:divsChild>
    </w:div>
    <w:div w:id="1412390554">
      <w:bodyDiv w:val="1"/>
      <w:marLeft w:val="0"/>
      <w:marRight w:val="0"/>
      <w:marTop w:val="0"/>
      <w:marBottom w:val="0"/>
      <w:divBdr>
        <w:top w:val="none" w:sz="0" w:space="0" w:color="auto"/>
        <w:left w:val="none" w:sz="0" w:space="0" w:color="auto"/>
        <w:bottom w:val="none" w:sz="0" w:space="0" w:color="auto"/>
        <w:right w:val="none" w:sz="0" w:space="0" w:color="auto"/>
      </w:divBdr>
      <w:divsChild>
        <w:div w:id="2015036425">
          <w:marLeft w:val="0"/>
          <w:marRight w:val="0"/>
          <w:marTop w:val="0"/>
          <w:marBottom w:val="0"/>
          <w:divBdr>
            <w:top w:val="none" w:sz="0" w:space="0" w:color="auto"/>
            <w:left w:val="none" w:sz="0" w:space="0" w:color="auto"/>
            <w:bottom w:val="none" w:sz="0" w:space="0" w:color="auto"/>
            <w:right w:val="none" w:sz="0" w:space="0" w:color="auto"/>
          </w:divBdr>
        </w:div>
      </w:divsChild>
    </w:div>
    <w:div w:id="1466197475">
      <w:bodyDiv w:val="1"/>
      <w:marLeft w:val="0"/>
      <w:marRight w:val="0"/>
      <w:marTop w:val="0"/>
      <w:marBottom w:val="0"/>
      <w:divBdr>
        <w:top w:val="none" w:sz="0" w:space="0" w:color="auto"/>
        <w:left w:val="none" w:sz="0" w:space="0" w:color="auto"/>
        <w:bottom w:val="none" w:sz="0" w:space="0" w:color="auto"/>
        <w:right w:val="none" w:sz="0" w:space="0" w:color="auto"/>
      </w:divBdr>
      <w:divsChild>
        <w:div w:id="10768705">
          <w:marLeft w:val="0"/>
          <w:marRight w:val="0"/>
          <w:marTop w:val="0"/>
          <w:marBottom w:val="0"/>
          <w:divBdr>
            <w:top w:val="none" w:sz="0" w:space="0" w:color="auto"/>
            <w:left w:val="none" w:sz="0" w:space="0" w:color="auto"/>
            <w:bottom w:val="none" w:sz="0" w:space="0" w:color="auto"/>
            <w:right w:val="none" w:sz="0" w:space="0" w:color="auto"/>
          </w:divBdr>
        </w:div>
      </w:divsChild>
    </w:div>
    <w:div w:id="1861235011">
      <w:bodyDiv w:val="1"/>
      <w:marLeft w:val="0"/>
      <w:marRight w:val="0"/>
      <w:marTop w:val="0"/>
      <w:marBottom w:val="0"/>
      <w:divBdr>
        <w:top w:val="none" w:sz="0" w:space="0" w:color="auto"/>
        <w:left w:val="none" w:sz="0" w:space="0" w:color="auto"/>
        <w:bottom w:val="none" w:sz="0" w:space="0" w:color="auto"/>
        <w:right w:val="none" w:sz="0" w:space="0" w:color="auto"/>
      </w:divBdr>
      <w:divsChild>
        <w:div w:id="1722434968">
          <w:marLeft w:val="0"/>
          <w:marRight w:val="0"/>
          <w:marTop w:val="0"/>
          <w:marBottom w:val="0"/>
          <w:divBdr>
            <w:top w:val="none" w:sz="0" w:space="0" w:color="auto"/>
            <w:left w:val="none" w:sz="0" w:space="0" w:color="auto"/>
            <w:bottom w:val="none" w:sz="0" w:space="0" w:color="auto"/>
            <w:right w:val="none" w:sz="0" w:space="0" w:color="auto"/>
          </w:divBdr>
        </w:div>
      </w:divsChild>
    </w:div>
    <w:div w:id="1968268762">
      <w:bodyDiv w:val="1"/>
      <w:marLeft w:val="0"/>
      <w:marRight w:val="0"/>
      <w:marTop w:val="0"/>
      <w:marBottom w:val="0"/>
      <w:divBdr>
        <w:top w:val="none" w:sz="0" w:space="0" w:color="auto"/>
        <w:left w:val="none" w:sz="0" w:space="0" w:color="auto"/>
        <w:bottom w:val="none" w:sz="0" w:space="0" w:color="auto"/>
        <w:right w:val="none" w:sz="0" w:space="0" w:color="auto"/>
      </w:divBdr>
      <w:divsChild>
        <w:div w:id="869668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bsl.gov.lk/sites/default/files/cbslweb_documents/statistics/wei/WEI_20200103_e_0.pdf"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cbsl.gov.lk/sites/default/files/cbslweb_documents/publications/annual_report/2019/en/9_Chapter_05.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bsl.gov.lk/sites/default/files/cbslweb_documents/publications/annual_report/2015/en/9_Chapter_05.pdf" TargetMode="External"/><Relationship Id="rId5" Type="http://schemas.openxmlformats.org/officeDocument/2006/relationships/styles" Target="styles.xml"/><Relationship Id="rId10" Type="http://schemas.openxmlformats.org/officeDocument/2006/relationships/hyperlink" Target="https://www.cbsl.gov.lk/sites/default/files/cbslweb_documents/statistics/wei/WEI_29_11_2019_e.pdf" TargetMode="External"/><Relationship Id="rId4" Type="http://schemas.openxmlformats.org/officeDocument/2006/relationships/numbering" Target="numbering.xml"/><Relationship Id="rId9" Type="http://schemas.openxmlformats.org/officeDocument/2006/relationships/hyperlink" Target="https://www.cbsl.gov.lk/sites/default/files/cbslweb_documents/statistics/wei/wei_20150220.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BC6ACE1C2EA144AA387C8872D75FE0" ma:contentTypeVersion="12" ma:contentTypeDescription="Create a new document." ma:contentTypeScope="" ma:versionID="0b7abffff61ccb77f23f9b15cb6300d3">
  <xsd:schema xmlns:xsd="http://www.w3.org/2001/XMLSchema" xmlns:xs="http://www.w3.org/2001/XMLSchema" xmlns:p="http://schemas.microsoft.com/office/2006/metadata/properties" xmlns:ns2="b525e57b-a09f-41ba-9e69-9022347623df" xmlns:ns3="9152755b-ef5c-4628-adab-b4ae8201551e" targetNamespace="http://schemas.microsoft.com/office/2006/metadata/properties" ma:root="true" ma:fieldsID="360cf520e30453449fc1979043b32a58" ns2:_="" ns3:_="">
    <xsd:import namespace="b525e57b-a09f-41ba-9e69-9022347623df"/>
    <xsd:import namespace="9152755b-ef5c-4628-adab-b4ae8201551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5e57b-a09f-41ba-9e69-9022347623d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152755b-ef5c-4628-adab-b4ae820155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F94A53D-495E-42BA-9445-67D2DA11DF8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E1117DC-B29D-4E1F-AFDA-8844892FB339}">
  <ds:schemaRefs>
    <ds:schemaRef ds:uri="http://schemas.microsoft.com/sharepoint/v3/contenttype/forms"/>
  </ds:schemaRefs>
</ds:datastoreItem>
</file>

<file path=customXml/itemProps3.xml><?xml version="1.0" encoding="utf-8"?>
<ds:datastoreItem xmlns:ds="http://schemas.openxmlformats.org/officeDocument/2006/customXml" ds:itemID="{9492693F-3C67-4FE0-8117-55E979DDC2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5e57b-a09f-41ba-9e69-9022347623df"/>
    <ds:schemaRef ds:uri="9152755b-ef5c-4628-adab-b4ae820155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2</Pages>
  <Words>699</Words>
  <Characters>3986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Anisha  Dias Bandaranaike</dc:creator>
  <cp:keywords/>
  <dc:description/>
  <cp:lastModifiedBy>Anisha  Dias Bandaranaike</cp:lastModifiedBy>
  <cp:revision>13</cp:revision>
  <dcterms:created xsi:type="dcterms:W3CDTF">2021-01-27T11:15:00Z</dcterms:created>
  <dcterms:modified xsi:type="dcterms:W3CDTF">2021-01-28T09:09:00Z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0x01010001BC6ACE1C2EA144AA387C8872D75FE0</vt:lpwstr>
  </property>
</Properties>
</file>